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default" w:ascii="Times New Roman" w:hAnsi="Times New Roman" w:eastAsia="宋体" w:cs="Times New Roman"/>
          <w:kern w:val="0"/>
          <w:sz w:val="24"/>
          <w:lang w:val="en-US" w:eastAsia="zh-CN"/>
        </w:rPr>
      </w:pPr>
      <w:r>
        <w:rPr>
          <w:rFonts w:hint="default" w:ascii="Times New Roman" w:hAnsi="Times New Roman" w:cs="Times New Roman"/>
          <w:kern w:val="0"/>
          <w:sz w:val="24"/>
        </w:rPr>
        <w:t>证券代码：</w:t>
      </w:r>
      <w:bookmarkStart w:id="0" w:name="OLE_LINK119"/>
      <w:bookmarkStart w:id="1" w:name="OLE_LINK118"/>
      <w:bookmarkStart w:id="2" w:name="OLE_LINK116"/>
      <w:bookmarkStart w:id="3" w:name="OLE_LINK117"/>
      <w:r>
        <w:rPr>
          <w:rFonts w:hint="default" w:ascii="Times New Roman" w:hAnsi="Times New Roman" w:cs="Times New Roman"/>
          <w:kern w:val="0"/>
          <w:sz w:val="24"/>
        </w:rPr>
        <w:t>300</w:t>
      </w:r>
      <w:bookmarkEnd w:id="0"/>
      <w:bookmarkEnd w:id="1"/>
      <w:bookmarkEnd w:id="2"/>
      <w:bookmarkEnd w:id="3"/>
      <w:r>
        <w:rPr>
          <w:rFonts w:hint="default" w:ascii="Times New Roman" w:hAnsi="Times New Roman" w:cs="Times New Roman"/>
          <w:kern w:val="0"/>
          <w:sz w:val="24"/>
        </w:rPr>
        <w:t xml:space="preserve">943  </w:t>
      </w:r>
      <w:r>
        <w:rPr>
          <w:rFonts w:hint="eastAsia" w:cs="Times New Roman"/>
          <w:kern w:val="0"/>
          <w:sz w:val="24"/>
          <w:lang w:val="en-US" w:eastAsia="zh-CN"/>
        </w:rPr>
        <w:t xml:space="preserve"> </w:t>
      </w:r>
      <w:r>
        <w:rPr>
          <w:rFonts w:hint="default" w:ascii="Times New Roman" w:hAnsi="Times New Roman" w:cs="Times New Roman"/>
          <w:kern w:val="0"/>
          <w:sz w:val="24"/>
        </w:rPr>
        <w:t xml:space="preserve">  </w:t>
      </w:r>
      <w:r>
        <w:rPr>
          <w:rFonts w:hint="default" w:ascii="Times New Roman" w:hAnsi="Times New Roman" w:cs="Times New Roman"/>
          <w:kern w:val="0"/>
          <w:sz w:val="24"/>
          <w:lang w:val="en-US" w:eastAsia="zh-CN"/>
        </w:rPr>
        <w:t xml:space="preserve"> </w:t>
      </w:r>
      <w:r>
        <w:rPr>
          <w:rFonts w:hint="default" w:ascii="Times New Roman" w:hAnsi="Times New Roman" w:cs="Times New Roman"/>
          <w:kern w:val="0"/>
          <w:sz w:val="24"/>
        </w:rPr>
        <w:t xml:space="preserve">   </w:t>
      </w:r>
      <w:r>
        <w:rPr>
          <w:rFonts w:hint="default" w:ascii="Times New Roman" w:hAnsi="Times New Roman" w:cs="Times New Roman"/>
          <w:kern w:val="0"/>
          <w:sz w:val="24"/>
          <w:lang w:val="en-US" w:eastAsia="zh-CN"/>
        </w:rPr>
        <w:t xml:space="preserve"> </w:t>
      </w:r>
      <w:r>
        <w:rPr>
          <w:rFonts w:hint="eastAsia" w:cs="Times New Roman"/>
          <w:kern w:val="0"/>
          <w:sz w:val="24"/>
          <w:lang w:val="en-US" w:eastAsia="zh-CN"/>
        </w:rPr>
        <w:t xml:space="preserve"> </w:t>
      </w:r>
      <w:r>
        <w:rPr>
          <w:rFonts w:hint="default" w:ascii="Times New Roman" w:hAnsi="Times New Roman" w:cs="Times New Roman"/>
          <w:kern w:val="0"/>
          <w:sz w:val="24"/>
          <w:lang w:val="en-US" w:eastAsia="zh-CN"/>
        </w:rPr>
        <w:t xml:space="preserve"> </w:t>
      </w:r>
      <w:r>
        <w:rPr>
          <w:rFonts w:hint="default" w:ascii="Times New Roman" w:hAnsi="Times New Roman" w:cs="Times New Roman"/>
          <w:kern w:val="0"/>
          <w:sz w:val="24"/>
        </w:rPr>
        <w:t xml:space="preserve"> 证券简称：春晖智控    </w:t>
      </w:r>
      <w:r>
        <w:rPr>
          <w:rFonts w:hint="default" w:ascii="Times New Roman" w:hAnsi="Times New Roman" w:cs="Times New Roman"/>
          <w:kern w:val="0"/>
          <w:sz w:val="24"/>
          <w:lang w:val="en-US" w:eastAsia="zh-CN"/>
        </w:rPr>
        <w:t xml:space="preserve"> </w:t>
      </w:r>
      <w:r>
        <w:rPr>
          <w:rFonts w:hint="default" w:ascii="Times New Roman" w:hAnsi="Times New Roman" w:cs="Times New Roman"/>
          <w:kern w:val="0"/>
          <w:sz w:val="24"/>
        </w:rPr>
        <w:t xml:space="preserve"> </w:t>
      </w:r>
      <w:r>
        <w:rPr>
          <w:rFonts w:hint="default" w:ascii="Times New Roman" w:hAnsi="Times New Roman" w:cs="Times New Roman"/>
          <w:kern w:val="0"/>
          <w:sz w:val="24"/>
          <w:lang w:val="en-US" w:eastAsia="zh-CN"/>
        </w:rPr>
        <w:t xml:space="preserve"> </w:t>
      </w:r>
      <w:r>
        <w:rPr>
          <w:rFonts w:hint="eastAsia" w:cs="Times New Roman"/>
          <w:kern w:val="0"/>
          <w:sz w:val="24"/>
          <w:lang w:val="en-US" w:eastAsia="zh-CN"/>
        </w:rPr>
        <w:t xml:space="preserve">  </w:t>
      </w:r>
      <w:r>
        <w:rPr>
          <w:rFonts w:hint="default" w:ascii="Times New Roman" w:hAnsi="Times New Roman" w:cs="Times New Roman"/>
          <w:kern w:val="0"/>
          <w:sz w:val="24"/>
        </w:rPr>
        <w:t xml:space="preserve">  公告编号：2022-0</w:t>
      </w:r>
      <w:r>
        <w:rPr>
          <w:rFonts w:hint="eastAsia" w:cs="Times New Roman"/>
          <w:kern w:val="0"/>
          <w:sz w:val="24"/>
          <w:lang w:val="en-US" w:eastAsia="zh-CN"/>
        </w:rPr>
        <w:t>76</w:t>
      </w:r>
    </w:p>
    <w:p>
      <w:pPr>
        <w:spacing w:line="360" w:lineRule="auto"/>
        <w:outlineLvl w:val="0"/>
        <w:rPr>
          <w:rFonts w:hint="eastAsia" w:ascii="Times New Roman" w:hAnsi="Times New Roman" w:eastAsia="宋体" w:cs="Times New Roman"/>
          <w:kern w:val="0"/>
          <w:sz w:val="24"/>
          <w:lang w:val="en-US" w:eastAsia="zh-CN"/>
        </w:rPr>
      </w:pPr>
      <w:r>
        <w:rPr>
          <w:rFonts w:hint="eastAsia" w:cs="Times New Roman"/>
          <w:kern w:val="0"/>
          <w:sz w:val="24"/>
          <w:lang w:val="en-US" w:eastAsia="zh-CN"/>
        </w:rPr>
        <w:t xml:space="preserve"> </w:t>
      </w:r>
    </w:p>
    <w:p>
      <w:pPr>
        <w:spacing w:line="360" w:lineRule="auto"/>
        <w:jc w:val="center"/>
        <w:outlineLvl w:val="0"/>
        <w:rPr>
          <w:rFonts w:hint="default" w:ascii="Times New Roman" w:hAnsi="Times New Roman" w:cs="Times New Roman" w:eastAsiaTheme="minorEastAsia"/>
          <w:b/>
          <w:kern w:val="0"/>
          <w:sz w:val="30"/>
          <w:szCs w:val="30"/>
        </w:rPr>
      </w:pPr>
      <w:r>
        <w:rPr>
          <w:rFonts w:hint="default" w:ascii="Times New Roman" w:hAnsi="Times New Roman" w:cs="Times New Roman"/>
          <w:b/>
          <w:bCs/>
          <w:kern w:val="0"/>
          <w:sz w:val="30"/>
          <w:szCs w:val="30"/>
        </w:rPr>
        <w:t>浙江春晖智能控制</w:t>
      </w:r>
      <w:r>
        <w:rPr>
          <w:rFonts w:hint="default" w:ascii="Times New Roman" w:hAnsi="Times New Roman" w:cs="Times New Roman" w:eastAsiaTheme="minorEastAsia"/>
          <w:b/>
          <w:color w:val="000000"/>
          <w:sz w:val="30"/>
          <w:szCs w:val="30"/>
        </w:rPr>
        <w:t>股份有限公司</w:t>
      </w:r>
    </w:p>
    <w:p>
      <w:pPr>
        <w:spacing w:line="360" w:lineRule="auto"/>
        <w:jc w:val="center"/>
        <w:outlineLvl w:val="0"/>
        <w:rPr>
          <w:rFonts w:hint="default" w:ascii="Times New Roman" w:hAnsi="Times New Roman" w:cs="Times New Roman"/>
          <w:b/>
          <w:bCs/>
          <w:sz w:val="30"/>
          <w:szCs w:val="30"/>
          <w:shd w:val="clear" w:color="auto" w:fill="FFFFFF"/>
        </w:rPr>
      </w:pPr>
      <w:r>
        <w:rPr>
          <w:rFonts w:hint="default" w:ascii="Times New Roman" w:hAnsi="Times New Roman" w:cs="Times New Roman"/>
          <w:b/>
          <w:bCs/>
          <w:sz w:val="30"/>
          <w:szCs w:val="30"/>
          <w:shd w:val="clear" w:color="auto" w:fill="FFFFFF"/>
        </w:rPr>
        <w:t>关于使用部分闲置募集资金和自有资金进行现金管理的进展公告</w:t>
      </w:r>
    </w:p>
    <w:p>
      <w:pPr>
        <w:spacing w:line="80" w:lineRule="exact"/>
        <w:jc w:val="center"/>
        <w:outlineLvl w:val="0"/>
        <w:rPr>
          <w:rFonts w:hint="default" w:ascii="Times New Roman" w:hAnsi="Times New Roman" w:cs="Times New Roman"/>
          <w:b/>
          <w:bCs/>
          <w:sz w:val="30"/>
          <w:szCs w:val="30"/>
          <w:shd w:val="clear" w:color="auto" w:fill="FFFFFF"/>
        </w:rPr>
      </w:pPr>
    </w:p>
    <w:p>
      <w:pPr>
        <w:spacing w:line="360" w:lineRule="auto"/>
        <w:jc w:val="center"/>
        <w:outlineLvl w:val="0"/>
        <w:rPr>
          <w:rFonts w:hint="default" w:ascii="Times New Roman" w:hAnsi="Times New Roman" w:cs="Times New Roman"/>
          <w:b/>
          <w:kern w:val="0"/>
          <w:sz w:val="30"/>
        </w:rPr>
      </w:pPr>
      <w:r>
        <w:rPr>
          <w:rFonts w:hint="default" w:ascii="Times New Roman" w:hAnsi="Times New Roman" w:eastAsia="华文楷体" w:cs="Times New Roman"/>
          <w:color w:val="000000"/>
        </w:rPr>
        <mc:AlternateContent>
          <mc:Choice Requires="wps">
            <w:drawing>
              <wp:anchor distT="0" distB="0" distL="114300" distR="114300" simplePos="0" relativeHeight="251659264" behindDoc="0" locked="0" layoutInCell="1" allowOverlap="1">
                <wp:simplePos x="0" y="0"/>
                <wp:positionH relativeFrom="margin">
                  <wp:posOffset>51435</wp:posOffset>
                </wp:positionH>
                <wp:positionV relativeFrom="paragraph">
                  <wp:posOffset>155575</wp:posOffset>
                </wp:positionV>
                <wp:extent cx="5709285" cy="687070"/>
                <wp:effectExtent l="4445" t="4445" r="10795" b="13335"/>
                <wp:wrapNone/>
                <wp:docPr id="1" name="文本框 1"/>
                <wp:cNvGraphicFramePr/>
                <a:graphic xmlns:a="http://schemas.openxmlformats.org/drawingml/2006/main">
                  <a:graphicData uri="http://schemas.microsoft.com/office/word/2010/wordprocessingShape">
                    <wps:wsp>
                      <wps:cNvSpPr txBox="1">
                        <a:spLocks noChangeArrowheads="1"/>
                      </wps:cNvSpPr>
                      <wps:spPr bwMode="auto">
                        <a:xfrm>
                          <a:off x="0" y="0"/>
                          <a:ext cx="5709285" cy="687070"/>
                        </a:xfrm>
                        <a:prstGeom prst="rect">
                          <a:avLst/>
                        </a:prstGeom>
                        <a:solidFill>
                          <a:srgbClr val="FFFFFF"/>
                        </a:solidFill>
                        <a:ln w="9525" cmpd="sng">
                          <a:solidFill>
                            <a:srgbClr val="000000"/>
                          </a:solidFill>
                          <a:miter lim="800000"/>
                        </a:ln>
                      </wps:spPr>
                      <wps:txbx>
                        <w:txbxContent>
                          <w:p>
                            <w:pPr>
                              <w:spacing w:line="360" w:lineRule="auto"/>
                              <w:ind w:firstLine="480" w:firstLineChars="200"/>
                              <w:rPr>
                                <w:rFonts w:ascii="宋体" w:hAnsi="宋体" w:cs="宋体"/>
                              </w:rPr>
                            </w:pPr>
                            <w:r>
                              <w:rPr>
                                <w:rFonts w:hint="eastAsia" w:ascii="宋体" w:hAnsi="宋体" w:cs="宋体"/>
                                <w:sz w:val="24"/>
                                <w:szCs w:val="24"/>
                              </w:rPr>
                              <w:t>本公司及董事会全体成员保证信息披露内容的真实、准确和完整，没有虚假记载、误导性陈述或重大遗漏。</w:t>
                            </w:r>
                          </w:p>
                          <w:p>
                            <w:pPr>
                              <w:spacing w:line="240" w:lineRule="atLeast"/>
                              <w:ind w:firstLine="420" w:firstLineChars="200"/>
                              <w:rPr>
                                <w:rFonts w:ascii="楷体_GB2312" w:eastAsia="楷体_GB2312"/>
                              </w:rPr>
                            </w:pPr>
                          </w:p>
                          <w:p/>
                        </w:txbxContent>
                      </wps:txbx>
                      <wps:bodyPr rot="0" vert="horz" wrap="square" lIns="91440" tIns="45720" rIns="91440" bIns="45720" anchor="t" anchorCtr="0" upright="1">
                        <a:noAutofit/>
                      </wps:bodyPr>
                    </wps:wsp>
                  </a:graphicData>
                </a:graphic>
              </wp:anchor>
            </w:drawing>
          </mc:Choice>
          <mc:Fallback>
            <w:pict>
              <v:shape id="_x0000_s1026" o:spid="_x0000_s1026" o:spt="202" type="#_x0000_t202" style="position:absolute;left:0pt;margin-left:4.05pt;margin-top:12.25pt;height:54.1pt;width:449.55pt;mso-position-horizontal-relative:margin;z-index:251659264;mso-width-relative:page;mso-height-relative:page;" fillcolor="#FFFFFF" filled="t" stroked="t" coordsize="21600,21600" o:gfxdata="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">
                <v:fill on="t" focussize="0,0"/>
                <v:stroke color="#000000" miterlimit="8" joinstyle="miter"/>
                <v:imagedata o:title=""/>
                <o:lock v:ext="edit" aspectratio="f"/>
                <v:textbox>
                  <w:txbxContent>
                    <w:p>
                      <w:pPr>
                        <w:spacing w:line="360" w:lineRule="auto"/>
                        <w:ind w:firstLine="480" w:firstLineChars="200"/>
                        <w:rPr>
                          <w:rFonts w:ascii="宋体" w:hAnsi="宋体" w:cs="宋体"/>
                        </w:rPr>
                      </w:pPr>
                      <w:r>
                        <w:rPr>
                          <w:rFonts w:hint="eastAsia" w:ascii="宋体" w:hAnsi="宋体" w:cs="宋体"/>
                          <w:sz w:val="24"/>
                          <w:szCs w:val="24"/>
                        </w:rPr>
                        <w:t>本公司及董事会全体成员保证信息披露内容的真实、准确和完整，没有虚假记载、误导性陈述或重大遗漏。</w:t>
                      </w:r>
                    </w:p>
                    <w:p>
                      <w:pPr>
                        <w:spacing w:line="240" w:lineRule="atLeast"/>
                        <w:ind w:firstLine="420" w:firstLineChars="200"/>
                        <w:rPr>
                          <w:rFonts w:ascii="楷体_GB2312" w:eastAsia="楷体_GB2312"/>
                        </w:rPr>
                      </w:pPr>
                    </w:p>
                    <w:p/>
                  </w:txbxContent>
                </v:textbox>
              </v:shape>
            </w:pict>
          </mc:Fallback>
        </mc:AlternateContent>
      </w:r>
    </w:p>
    <w:p>
      <w:pPr>
        <w:rPr>
          <w:rFonts w:hint="default" w:ascii="Times New Roman" w:hAnsi="Times New Roman" w:cs="Times New Roman"/>
        </w:rPr>
      </w:pPr>
    </w:p>
    <w:p>
      <w:pPr>
        <w:rPr>
          <w:rFonts w:hint="default" w:ascii="Times New Roman" w:hAnsi="Times New Roman" w:cs="Times New Roman"/>
        </w:rPr>
      </w:pPr>
    </w:p>
    <w:p>
      <w:pPr>
        <w:tabs>
          <w:tab w:val="left" w:pos="0"/>
        </w:tabs>
        <w:autoSpaceDE w:val="0"/>
        <w:autoSpaceDN w:val="0"/>
        <w:adjustRightInd w:val="0"/>
        <w:snapToGrid w:val="0"/>
        <w:spacing w:line="360" w:lineRule="auto"/>
        <w:ind w:firstLine="420" w:firstLineChars="200"/>
        <w:rPr>
          <w:rFonts w:hint="default" w:ascii="Times New Roman" w:hAnsi="Times New Roman" w:cs="Times New Roman"/>
        </w:rPr>
      </w:pPr>
    </w:p>
    <w:p>
      <w:pPr>
        <w:widowControl/>
        <w:shd w:val="clear" w:color="auto" w:fill="FFFFFF"/>
        <w:spacing w:line="360" w:lineRule="auto"/>
        <w:ind w:firstLine="480" w:firstLineChars="200"/>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浙江春晖智能控制股份有限公司（以下简称</w:t>
      </w:r>
      <w:r>
        <w:rPr>
          <w:rFonts w:hint="default" w:ascii="Times New Roman" w:hAnsi="Times New Roman" w:cs="Times New Roman" w:eastAsiaTheme="minorEastAsia"/>
          <w:color w:val="000000"/>
          <w:kern w:val="0"/>
          <w:sz w:val="24"/>
          <w:szCs w:val="24"/>
          <w:lang w:eastAsia="zh-CN"/>
        </w:rPr>
        <w:t>“</w:t>
      </w:r>
      <w:r>
        <w:rPr>
          <w:rFonts w:hint="default" w:ascii="Times New Roman" w:hAnsi="Times New Roman" w:cs="Times New Roman" w:eastAsiaTheme="minorEastAsia"/>
          <w:color w:val="000000"/>
          <w:kern w:val="0"/>
          <w:sz w:val="24"/>
          <w:szCs w:val="24"/>
        </w:rPr>
        <w:t>公司</w:t>
      </w:r>
      <w:r>
        <w:rPr>
          <w:rFonts w:hint="default" w:ascii="Times New Roman" w:hAnsi="Times New Roman" w:cs="Times New Roman" w:eastAsiaTheme="minorEastAsia"/>
          <w:color w:val="000000"/>
          <w:kern w:val="0"/>
          <w:sz w:val="24"/>
          <w:szCs w:val="24"/>
          <w:lang w:eastAsia="zh-CN"/>
        </w:rPr>
        <w:t>”</w:t>
      </w:r>
      <w:r>
        <w:rPr>
          <w:rFonts w:hint="default" w:ascii="Times New Roman" w:hAnsi="Times New Roman" w:cs="Times New Roman" w:eastAsiaTheme="minorEastAsia"/>
          <w:color w:val="000000"/>
          <w:kern w:val="0"/>
          <w:sz w:val="24"/>
          <w:szCs w:val="24"/>
        </w:rPr>
        <w:t>）于2022年3月1日召开第八届董事会第六次会议、第八届监事会第六次会议，于202</w:t>
      </w:r>
      <w:r>
        <w:rPr>
          <w:rFonts w:hint="default" w:ascii="Times New Roman" w:hAnsi="Times New Roman" w:cs="Times New Roman" w:eastAsiaTheme="minorEastAsia"/>
          <w:color w:val="000000"/>
          <w:kern w:val="0"/>
          <w:sz w:val="24"/>
          <w:szCs w:val="24"/>
          <w:lang w:val="en-US" w:eastAsia="zh-CN"/>
        </w:rPr>
        <w:t>2</w:t>
      </w:r>
      <w:r>
        <w:rPr>
          <w:rFonts w:hint="default" w:ascii="Times New Roman" w:hAnsi="Times New Roman" w:cs="Times New Roman" w:eastAsiaTheme="minorEastAsia"/>
          <w:color w:val="000000"/>
          <w:kern w:val="0"/>
          <w:sz w:val="24"/>
          <w:szCs w:val="24"/>
        </w:rPr>
        <w:t>年3月17日召开2022年第一次临时股东大会，审议通过了《</w:t>
      </w:r>
      <w:r>
        <w:rPr>
          <w:rFonts w:hint="default" w:ascii="Times New Roman" w:hAnsi="Times New Roman" w:cs="Times New Roman" w:eastAsiaTheme="minorEastAsia"/>
          <w:sz w:val="24"/>
          <w:szCs w:val="24"/>
        </w:rPr>
        <w:t>关于使用部分闲置募集资金和自有资金进行现金管理的议案</w:t>
      </w:r>
      <w:r>
        <w:rPr>
          <w:rFonts w:hint="default" w:ascii="Times New Roman" w:hAnsi="Times New Roman" w:cs="Times New Roman" w:eastAsiaTheme="minorEastAsia"/>
          <w:color w:val="000000"/>
          <w:kern w:val="0"/>
          <w:sz w:val="24"/>
          <w:szCs w:val="24"/>
        </w:rPr>
        <w:t>》，在确保不影响公司正常经营、募投项目建设及募集资金使用的前提下，同意公司使用不超过人民币</w:t>
      </w:r>
      <w:r>
        <w:rPr>
          <w:rFonts w:hint="default" w:ascii="Times New Roman" w:hAnsi="Times New Roman" w:cs="Times New Roman" w:eastAsiaTheme="minorEastAsia"/>
          <w:sz w:val="24"/>
          <w:shd w:val="clear" w:color="auto" w:fill="FFFFFF"/>
        </w:rPr>
        <w:t>20,000万元（含本数）闲置募集资金和不超过人民币40,000万元（含本数）自有资金进行现金管理</w:t>
      </w:r>
      <w:r>
        <w:rPr>
          <w:rFonts w:hint="default" w:ascii="Times New Roman" w:hAnsi="Times New Roman" w:cs="Times New Roman" w:eastAsiaTheme="minorEastAsia"/>
          <w:color w:val="000000"/>
          <w:kern w:val="0"/>
          <w:sz w:val="24"/>
          <w:szCs w:val="24"/>
        </w:rPr>
        <w:t>，使用期限自股东大会审议通过之日起12个月内有效。在上述额度和期限内，资金可循环滚动使用。</w:t>
      </w:r>
    </w:p>
    <w:p>
      <w:pPr>
        <w:widowControl/>
        <w:shd w:val="clear" w:color="auto" w:fill="FFFFFF"/>
        <w:spacing w:line="360" w:lineRule="auto"/>
        <w:ind w:firstLine="480" w:firstLineChars="200"/>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具体内容详见公司在巨潮资讯网（www.cninfo.com.cn）上披露的《关于使用部分闲置募集资金和自有资金进行现金管理的公告》（公告编号：2022-010）。近日，公司使用部分闲置募集资金进行现金管理。现将有关情况公告如下：</w:t>
      </w:r>
    </w:p>
    <w:p>
      <w:pPr>
        <w:widowControl/>
        <w:shd w:val="clear" w:color="auto" w:fill="FFFFFF"/>
        <w:spacing w:before="124" w:beforeLines="40" w:after="124" w:afterLines="40" w:line="360" w:lineRule="auto"/>
        <w:ind w:firstLine="482" w:firstLineChars="200"/>
        <w:jc w:val="left"/>
        <w:rPr>
          <w:rFonts w:hint="default" w:ascii="Times New Roman" w:hAnsi="Times New Roman" w:cs="Times New Roman" w:eastAsiaTheme="minorEastAsia"/>
          <w:b/>
          <w:bCs/>
          <w:color w:val="000000"/>
          <w:kern w:val="0"/>
          <w:sz w:val="24"/>
          <w:szCs w:val="24"/>
        </w:rPr>
      </w:pPr>
      <w:r>
        <w:rPr>
          <w:rFonts w:hint="default" w:ascii="Times New Roman" w:hAnsi="Times New Roman" w:cs="Times New Roman" w:eastAsiaTheme="minorEastAsia"/>
          <w:b/>
          <w:bCs/>
          <w:color w:val="000000"/>
          <w:kern w:val="0"/>
          <w:sz w:val="24"/>
          <w:szCs w:val="24"/>
        </w:rPr>
        <w:t>一、本次使用闲置</w:t>
      </w:r>
      <w:r>
        <w:rPr>
          <w:rFonts w:hint="eastAsia" w:cs="Times New Roman" w:eastAsiaTheme="minorEastAsia"/>
          <w:b/>
          <w:bCs/>
          <w:color w:val="000000"/>
          <w:kern w:val="0"/>
          <w:sz w:val="24"/>
          <w:szCs w:val="24"/>
          <w:lang w:val="en-US" w:eastAsia="zh-CN"/>
        </w:rPr>
        <w:t>自有资金</w:t>
      </w:r>
      <w:r>
        <w:rPr>
          <w:rFonts w:hint="default" w:ascii="Times New Roman" w:hAnsi="Times New Roman" w:cs="Times New Roman" w:eastAsiaTheme="minorEastAsia"/>
          <w:b/>
          <w:bCs/>
          <w:color w:val="000000"/>
          <w:kern w:val="0"/>
          <w:sz w:val="24"/>
          <w:szCs w:val="24"/>
        </w:rPr>
        <w:t>进行现金管理的主要情况</w:t>
      </w:r>
    </w:p>
    <w:p>
      <w:pPr>
        <w:widowControl/>
        <w:shd w:val="clear" w:color="auto" w:fill="FFFFFF"/>
        <w:spacing w:line="360" w:lineRule="auto"/>
        <w:ind w:firstLine="420" w:firstLineChars="200"/>
        <w:jc w:val="right"/>
        <w:rPr>
          <w:rFonts w:hint="default" w:ascii="Times New Roman" w:hAnsi="Times New Roman" w:cs="Times New Roman" w:eastAsiaTheme="minorEastAsia"/>
          <w:color w:val="000000"/>
          <w:kern w:val="0"/>
          <w:szCs w:val="21"/>
        </w:rPr>
      </w:pPr>
      <w:r>
        <w:rPr>
          <w:rFonts w:hint="default" w:ascii="Times New Roman" w:hAnsi="Times New Roman" w:cs="Times New Roman" w:eastAsiaTheme="minorEastAsia"/>
          <w:color w:val="000000"/>
          <w:kern w:val="0"/>
          <w:szCs w:val="21"/>
        </w:rPr>
        <w:t>单位：人民币万元</w:t>
      </w:r>
    </w:p>
    <w:tbl>
      <w:tblPr>
        <w:tblStyle w:val="11"/>
        <w:tblW w:w="9675" w:type="dxa"/>
        <w:tblInd w:w="-12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65"/>
        <w:gridCol w:w="1148"/>
        <w:gridCol w:w="1375"/>
        <w:gridCol w:w="858"/>
        <w:gridCol w:w="1196"/>
        <w:gridCol w:w="1241"/>
        <w:gridCol w:w="1304"/>
        <w:gridCol w:w="1421"/>
        <w:gridCol w:w="66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Cs w:val="21"/>
              </w:rPr>
            </w:pPr>
            <w:r>
              <w:rPr>
                <w:rFonts w:hint="default" w:ascii="Times New Roman" w:hAnsi="Times New Roman" w:cs="Times New Roman" w:eastAsiaTheme="minorEastAsia"/>
                <w:b/>
                <w:bCs/>
                <w:color w:val="000000"/>
                <w:kern w:val="0"/>
                <w:szCs w:val="21"/>
              </w:rPr>
              <w:t>序号</w:t>
            </w:r>
          </w:p>
        </w:tc>
        <w:tc>
          <w:tcPr>
            <w:tcW w:w="1148"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Cs w:val="21"/>
              </w:rPr>
            </w:pPr>
            <w:r>
              <w:rPr>
                <w:rFonts w:hint="default" w:ascii="Times New Roman" w:hAnsi="Times New Roman" w:cs="Times New Roman" w:eastAsiaTheme="minorEastAsia"/>
                <w:b/>
                <w:bCs/>
                <w:color w:val="000000"/>
                <w:kern w:val="0"/>
                <w:szCs w:val="21"/>
              </w:rPr>
              <w:t>受托方</w:t>
            </w:r>
          </w:p>
        </w:tc>
        <w:tc>
          <w:tcPr>
            <w:tcW w:w="1375"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Cs w:val="21"/>
              </w:rPr>
            </w:pPr>
            <w:r>
              <w:rPr>
                <w:rFonts w:hint="default" w:ascii="Times New Roman" w:hAnsi="Times New Roman" w:cs="Times New Roman" w:eastAsiaTheme="minorEastAsia"/>
                <w:b/>
                <w:bCs/>
                <w:color w:val="000000"/>
                <w:kern w:val="0"/>
                <w:szCs w:val="21"/>
              </w:rPr>
              <w:t>产品名称</w:t>
            </w:r>
          </w:p>
        </w:tc>
        <w:tc>
          <w:tcPr>
            <w:tcW w:w="858"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Cs w:val="21"/>
              </w:rPr>
            </w:pPr>
            <w:r>
              <w:rPr>
                <w:rFonts w:hint="default" w:ascii="Times New Roman" w:hAnsi="Times New Roman" w:cs="Times New Roman" w:eastAsiaTheme="minorEastAsia"/>
                <w:b/>
                <w:bCs/>
                <w:color w:val="000000"/>
                <w:kern w:val="0"/>
                <w:szCs w:val="21"/>
              </w:rPr>
              <w:t>金额</w:t>
            </w:r>
          </w:p>
        </w:tc>
        <w:tc>
          <w:tcPr>
            <w:tcW w:w="1196"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Cs w:val="21"/>
              </w:rPr>
            </w:pPr>
            <w:r>
              <w:rPr>
                <w:rFonts w:hint="default" w:ascii="Times New Roman" w:hAnsi="Times New Roman" w:cs="Times New Roman" w:eastAsiaTheme="minorEastAsia"/>
                <w:b/>
                <w:bCs/>
                <w:color w:val="000000"/>
                <w:kern w:val="0"/>
                <w:szCs w:val="21"/>
              </w:rPr>
              <w:t>起息日</w:t>
            </w:r>
          </w:p>
        </w:tc>
        <w:tc>
          <w:tcPr>
            <w:tcW w:w="1241"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Cs w:val="21"/>
              </w:rPr>
            </w:pPr>
            <w:r>
              <w:rPr>
                <w:rFonts w:hint="default" w:ascii="Times New Roman" w:hAnsi="Times New Roman" w:cs="Times New Roman" w:eastAsiaTheme="minorEastAsia"/>
                <w:b/>
                <w:bCs/>
                <w:color w:val="000000"/>
                <w:kern w:val="0"/>
                <w:szCs w:val="21"/>
              </w:rPr>
              <w:t>到期日</w:t>
            </w:r>
          </w:p>
        </w:tc>
        <w:tc>
          <w:tcPr>
            <w:tcW w:w="1304"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Cs w:val="21"/>
              </w:rPr>
            </w:pPr>
            <w:r>
              <w:rPr>
                <w:rFonts w:hint="default" w:ascii="Times New Roman" w:hAnsi="Times New Roman" w:cs="Times New Roman" w:eastAsiaTheme="minorEastAsia"/>
                <w:b/>
                <w:bCs/>
                <w:color w:val="000000"/>
                <w:kern w:val="0"/>
                <w:szCs w:val="21"/>
              </w:rPr>
              <w:t>产品类型</w:t>
            </w:r>
          </w:p>
        </w:tc>
        <w:tc>
          <w:tcPr>
            <w:tcW w:w="1421"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Cs w:val="21"/>
              </w:rPr>
            </w:pPr>
            <w:r>
              <w:rPr>
                <w:rFonts w:hint="default" w:ascii="Times New Roman" w:hAnsi="Times New Roman" w:cs="Times New Roman" w:eastAsiaTheme="minorEastAsia"/>
                <w:b/>
                <w:bCs/>
                <w:color w:val="000000"/>
                <w:kern w:val="0"/>
                <w:szCs w:val="21"/>
              </w:rPr>
              <w:t>预期年化收益率</w:t>
            </w:r>
          </w:p>
        </w:tc>
        <w:tc>
          <w:tcPr>
            <w:tcW w:w="667"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Cs w:val="21"/>
              </w:rPr>
            </w:pPr>
            <w:r>
              <w:rPr>
                <w:rFonts w:hint="default" w:ascii="Times New Roman" w:hAnsi="Times New Roman" w:cs="Times New Roman" w:eastAsiaTheme="minorEastAsia"/>
                <w:b/>
                <w:bCs/>
                <w:color w:val="000000"/>
                <w:kern w:val="0"/>
                <w:szCs w:val="21"/>
              </w:rPr>
              <w:t>资金来源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65" w:type="dxa"/>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1</w:t>
            </w:r>
          </w:p>
        </w:tc>
        <w:tc>
          <w:tcPr>
            <w:tcW w:w="1148" w:type="dxa"/>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财通证券资产管理有限公司</w:t>
            </w:r>
          </w:p>
        </w:tc>
        <w:tc>
          <w:tcPr>
            <w:tcW w:w="1375" w:type="dxa"/>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财通证券资管月月福9号集合资产管理计划</w:t>
            </w:r>
          </w:p>
        </w:tc>
        <w:tc>
          <w:tcPr>
            <w:tcW w:w="858" w:type="dxa"/>
            <w:vAlign w:val="center"/>
          </w:tcPr>
          <w:p>
            <w:pPr>
              <w:widowControl/>
              <w:jc w:val="center"/>
              <w:rPr>
                <w:rFonts w:hint="default" w:ascii="Times New Roman" w:hAnsi="Times New Roman" w:cs="Times New Roman"/>
                <w:color w:val="000000"/>
                <w:kern w:val="0"/>
                <w:szCs w:val="21"/>
                <w:lang w:val="en-US"/>
              </w:rPr>
            </w:pPr>
            <w:r>
              <w:rPr>
                <w:rFonts w:hint="eastAsia" w:cs="Times New Roman"/>
                <w:color w:val="000000"/>
                <w:kern w:val="0"/>
                <w:szCs w:val="21"/>
                <w:lang w:val="en-US" w:eastAsia="zh-CN"/>
              </w:rPr>
              <w:t>3,000</w:t>
            </w:r>
          </w:p>
        </w:tc>
        <w:tc>
          <w:tcPr>
            <w:tcW w:w="1196" w:type="dxa"/>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rPr>
              <w:t>2022-</w:t>
            </w:r>
            <w:r>
              <w:rPr>
                <w:rFonts w:hint="eastAsia" w:cs="Times New Roman"/>
                <w:color w:val="000000"/>
                <w:kern w:val="0"/>
                <w:szCs w:val="21"/>
                <w:lang w:val="en-US" w:eastAsia="zh-CN"/>
              </w:rPr>
              <w:t>10</w:t>
            </w:r>
            <w:r>
              <w:rPr>
                <w:rFonts w:hint="default" w:ascii="Times New Roman" w:hAnsi="Times New Roman" w:cs="Times New Roman"/>
                <w:color w:val="000000"/>
                <w:kern w:val="0"/>
                <w:szCs w:val="21"/>
              </w:rPr>
              <w:t>-</w:t>
            </w:r>
            <w:r>
              <w:rPr>
                <w:rFonts w:hint="eastAsia" w:cs="Times New Roman"/>
                <w:color w:val="000000"/>
                <w:kern w:val="0"/>
                <w:szCs w:val="21"/>
                <w:lang w:val="en-US" w:eastAsia="zh-CN"/>
              </w:rPr>
              <w:t>18</w:t>
            </w:r>
          </w:p>
        </w:tc>
        <w:tc>
          <w:tcPr>
            <w:tcW w:w="1241" w:type="dxa"/>
            <w:vAlign w:val="center"/>
          </w:tcPr>
          <w:p>
            <w:pPr>
              <w:widowControl/>
              <w:jc w:val="center"/>
              <w:rPr>
                <w:rFonts w:hint="default" w:ascii="Times New Roman" w:hAnsi="Times New Roman" w:eastAsia="宋体" w:cs="Times New Roman"/>
                <w:color w:val="000000"/>
                <w:kern w:val="0"/>
                <w:szCs w:val="21"/>
                <w:lang w:val="en-US" w:eastAsia="zh-CN"/>
              </w:rPr>
            </w:pPr>
            <w:r>
              <w:rPr>
                <w:rFonts w:hint="default" w:ascii="Times New Roman" w:hAnsi="Times New Roman" w:cs="Times New Roman"/>
                <w:color w:val="000000"/>
                <w:kern w:val="0"/>
                <w:szCs w:val="21"/>
              </w:rPr>
              <w:t>202</w:t>
            </w:r>
            <w:r>
              <w:rPr>
                <w:rFonts w:hint="eastAsia" w:cs="Times New Roman"/>
                <w:color w:val="000000"/>
                <w:kern w:val="0"/>
                <w:szCs w:val="21"/>
                <w:lang w:val="en-US" w:eastAsia="zh-CN"/>
              </w:rPr>
              <w:t>3</w:t>
            </w:r>
            <w:r>
              <w:rPr>
                <w:rFonts w:hint="default" w:ascii="Times New Roman" w:hAnsi="Times New Roman" w:cs="Times New Roman"/>
                <w:color w:val="000000"/>
                <w:kern w:val="0"/>
                <w:szCs w:val="21"/>
              </w:rPr>
              <w:t>-</w:t>
            </w:r>
            <w:r>
              <w:rPr>
                <w:rFonts w:hint="eastAsia" w:cs="Times New Roman"/>
                <w:color w:val="000000"/>
                <w:kern w:val="0"/>
                <w:szCs w:val="21"/>
                <w:lang w:val="en-US" w:eastAsia="zh-CN"/>
              </w:rPr>
              <w:t>10</w:t>
            </w:r>
            <w:r>
              <w:rPr>
                <w:rFonts w:hint="default" w:ascii="Times New Roman" w:hAnsi="Times New Roman" w:cs="Times New Roman"/>
                <w:color w:val="000000"/>
                <w:kern w:val="0"/>
                <w:szCs w:val="21"/>
              </w:rPr>
              <w:t>-</w:t>
            </w:r>
            <w:r>
              <w:rPr>
                <w:rFonts w:hint="eastAsia" w:cs="Times New Roman"/>
                <w:color w:val="000000"/>
                <w:kern w:val="0"/>
                <w:szCs w:val="21"/>
                <w:lang w:val="en-US" w:eastAsia="zh-CN"/>
              </w:rPr>
              <w:t>16</w:t>
            </w:r>
          </w:p>
        </w:tc>
        <w:tc>
          <w:tcPr>
            <w:tcW w:w="1304" w:type="dxa"/>
            <w:vAlign w:val="center"/>
          </w:tcPr>
          <w:p>
            <w:pPr>
              <w:widowControl/>
              <w:jc w:val="center"/>
              <w:rPr>
                <w:rFonts w:hint="default"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非保本浮动收益型</w:t>
            </w:r>
          </w:p>
        </w:tc>
        <w:tc>
          <w:tcPr>
            <w:tcW w:w="1421" w:type="dxa"/>
            <w:vAlign w:val="center"/>
          </w:tcPr>
          <w:p>
            <w:pPr>
              <w:widowControl/>
              <w:jc w:val="center"/>
              <w:rPr>
                <w:rFonts w:hint="eastAsia" w:ascii="Times New Roman" w:hAnsi="Times New Roman" w:eastAsia="宋体" w:cs="Times New Roman"/>
                <w:color w:val="000000"/>
                <w:kern w:val="0"/>
                <w:szCs w:val="21"/>
                <w:lang w:val="en-US" w:eastAsia="zh-CN"/>
              </w:rPr>
            </w:pPr>
            <w:r>
              <w:rPr>
                <w:rFonts w:hint="eastAsia" w:cs="Times New Roman"/>
                <w:color w:val="000000"/>
                <w:kern w:val="0"/>
                <w:szCs w:val="21"/>
                <w:lang w:val="en-US" w:eastAsia="zh-CN"/>
              </w:rPr>
              <w:t>4</w:t>
            </w:r>
            <w:r>
              <w:rPr>
                <w:rFonts w:hint="default" w:ascii="Times New Roman" w:hAnsi="Times New Roman" w:cs="Times New Roman"/>
                <w:color w:val="000000"/>
                <w:kern w:val="0"/>
                <w:szCs w:val="21"/>
              </w:rPr>
              <w:t>.</w:t>
            </w:r>
            <w:r>
              <w:rPr>
                <w:rFonts w:hint="eastAsia" w:cs="Times New Roman"/>
                <w:color w:val="000000"/>
                <w:kern w:val="0"/>
                <w:szCs w:val="21"/>
                <w:lang w:val="en-US" w:eastAsia="zh-CN"/>
              </w:rPr>
              <w:t>5</w:t>
            </w:r>
            <w:r>
              <w:rPr>
                <w:rFonts w:hint="default" w:ascii="Times New Roman" w:hAnsi="Times New Roman" w:cs="Times New Roman"/>
                <w:color w:val="000000"/>
                <w:kern w:val="0"/>
                <w:szCs w:val="21"/>
                <w:lang w:val="en-US" w:eastAsia="zh-CN"/>
              </w:rPr>
              <w:t>0</w:t>
            </w:r>
            <w:r>
              <w:rPr>
                <w:rFonts w:hint="default" w:ascii="Times New Roman" w:hAnsi="Times New Roman" w:cs="Times New Roman"/>
                <w:color w:val="000000"/>
                <w:kern w:val="0"/>
                <w:szCs w:val="21"/>
              </w:rPr>
              <w:t>%</w:t>
            </w:r>
            <w:r>
              <w:rPr>
                <w:rFonts w:hint="eastAsia" w:cs="Times New Roman"/>
                <w:color w:val="000000"/>
                <w:kern w:val="0"/>
                <w:szCs w:val="21"/>
                <w:lang w:val="en-US" w:eastAsia="zh-CN"/>
              </w:rPr>
              <w:t>+</w:t>
            </w:r>
          </w:p>
        </w:tc>
        <w:tc>
          <w:tcPr>
            <w:tcW w:w="667" w:type="dxa"/>
            <w:vAlign w:val="center"/>
          </w:tcPr>
          <w:p>
            <w:pPr>
              <w:widowControl/>
              <w:jc w:val="center"/>
              <w:rPr>
                <w:rFonts w:hint="default" w:ascii="Times New Roman" w:hAnsi="Times New Roman" w:cs="Times New Roman"/>
                <w:color w:val="000000"/>
                <w:kern w:val="0"/>
                <w:szCs w:val="21"/>
              </w:rPr>
            </w:pPr>
            <w:r>
              <w:rPr>
                <w:rFonts w:hint="eastAsia" w:cs="Times New Roman"/>
                <w:color w:val="000000"/>
                <w:kern w:val="0"/>
                <w:szCs w:val="21"/>
                <w:lang w:val="en-US" w:eastAsia="zh-CN"/>
              </w:rPr>
              <w:t>自有</w:t>
            </w:r>
            <w:r>
              <w:rPr>
                <w:rFonts w:hint="default" w:ascii="Times New Roman" w:hAnsi="Times New Roman" w:cs="Times New Roman"/>
                <w:color w:val="000000"/>
                <w:kern w:val="0"/>
                <w:szCs w:val="21"/>
              </w:rPr>
              <w:t>资金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trPr>
        <w:tc>
          <w:tcPr>
            <w:tcW w:w="2988" w:type="dxa"/>
            <w:gridSpan w:val="3"/>
            <w:vAlign w:val="center"/>
          </w:tcPr>
          <w:p>
            <w:pPr>
              <w:widowControl/>
              <w:jc w:val="center"/>
              <w:rPr>
                <w:rFonts w:hint="default" w:ascii="Times New Roman" w:hAnsi="Times New Roman" w:cs="Times New Roman"/>
                <w:color w:val="000000"/>
                <w:kern w:val="0"/>
                <w:szCs w:val="21"/>
              </w:rPr>
            </w:pPr>
            <w:r>
              <w:rPr>
                <w:rFonts w:hint="default" w:ascii="Times New Roman" w:hAnsi="Times New Roman" w:cs="Times New Roman"/>
                <w:color w:val="000000"/>
                <w:kern w:val="0"/>
                <w:szCs w:val="21"/>
              </w:rPr>
              <w:t>合计</w:t>
            </w:r>
          </w:p>
        </w:tc>
        <w:tc>
          <w:tcPr>
            <w:tcW w:w="858" w:type="dxa"/>
            <w:vAlign w:val="center"/>
          </w:tcPr>
          <w:p>
            <w:pPr>
              <w:widowControl/>
              <w:jc w:val="center"/>
              <w:rPr>
                <w:rFonts w:hint="default" w:ascii="Times New Roman" w:hAnsi="Times New Roman" w:cs="Times New Roman"/>
                <w:color w:val="000000"/>
                <w:kern w:val="0"/>
                <w:szCs w:val="21"/>
              </w:rPr>
            </w:pPr>
            <w:r>
              <w:rPr>
                <w:rFonts w:hint="eastAsia" w:cs="Times New Roman"/>
                <w:color w:val="000000"/>
                <w:kern w:val="0"/>
                <w:szCs w:val="21"/>
                <w:lang w:val="en-US" w:eastAsia="zh-CN"/>
              </w:rPr>
              <w:t>3</w:t>
            </w:r>
            <w:r>
              <w:rPr>
                <w:rFonts w:hint="default" w:ascii="Times New Roman" w:hAnsi="Times New Roman" w:cs="Times New Roman"/>
                <w:color w:val="000000"/>
                <w:kern w:val="0"/>
                <w:szCs w:val="21"/>
              </w:rPr>
              <w:t>,</w:t>
            </w:r>
            <w:r>
              <w:rPr>
                <w:rFonts w:hint="eastAsia" w:cs="Times New Roman"/>
                <w:color w:val="000000"/>
                <w:kern w:val="0"/>
                <w:szCs w:val="21"/>
                <w:lang w:val="en-US" w:eastAsia="zh-CN"/>
              </w:rPr>
              <w:t>0</w:t>
            </w:r>
            <w:r>
              <w:rPr>
                <w:rFonts w:hint="default" w:ascii="Times New Roman" w:hAnsi="Times New Roman" w:cs="Times New Roman"/>
                <w:color w:val="000000"/>
                <w:kern w:val="0"/>
                <w:szCs w:val="21"/>
              </w:rPr>
              <w:t>00</w:t>
            </w:r>
          </w:p>
        </w:tc>
        <w:tc>
          <w:tcPr>
            <w:tcW w:w="5829" w:type="dxa"/>
            <w:gridSpan w:val="5"/>
            <w:vAlign w:val="center"/>
          </w:tcPr>
          <w:p>
            <w:pPr>
              <w:widowControl/>
              <w:jc w:val="left"/>
              <w:rPr>
                <w:rFonts w:hint="default" w:ascii="Times New Roman" w:hAnsi="Times New Roman" w:cs="Times New Roman"/>
                <w:color w:val="000000"/>
                <w:kern w:val="0"/>
                <w:szCs w:val="21"/>
              </w:rPr>
            </w:pPr>
          </w:p>
        </w:tc>
      </w:tr>
    </w:tbl>
    <w:p>
      <w:pPr>
        <w:widowControl/>
        <w:shd w:val="clear" w:color="auto" w:fill="FFFFFF"/>
        <w:spacing w:line="240" w:lineRule="exact"/>
        <w:ind w:firstLine="482" w:firstLineChars="200"/>
        <w:jc w:val="left"/>
        <w:rPr>
          <w:rFonts w:hint="default" w:ascii="Times New Roman" w:hAnsi="Times New Roman" w:cs="Times New Roman" w:eastAsiaTheme="minorEastAsia"/>
          <w:b/>
          <w:bCs/>
          <w:color w:val="000000"/>
          <w:kern w:val="0"/>
          <w:sz w:val="24"/>
          <w:szCs w:val="24"/>
        </w:rPr>
      </w:pPr>
    </w:p>
    <w:p>
      <w:pPr>
        <w:widowControl/>
        <w:shd w:val="clear" w:color="auto" w:fill="FFFFFF"/>
        <w:spacing w:before="93" w:beforeLines="30" w:after="93" w:afterLines="30" w:line="360" w:lineRule="auto"/>
        <w:ind w:firstLine="482" w:firstLineChars="200"/>
        <w:jc w:val="left"/>
        <w:rPr>
          <w:rFonts w:hint="default" w:ascii="Times New Roman" w:hAnsi="Times New Roman" w:cs="Times New Roman" w:eastAsiaTheme="minorEastAsia"/>
          <w:b/>
          <w:bCs/>
          <w:color w:val="000000"/>
          <w:kern w:val="0"/>
          <w:sz w:val="24"/>
          <w:szCs w:val="24"/>
        </w:rPr>
      </w:pPr>
      <w:r>
        <w:rPr>
          <w:rFonts w:hint="default" w:ascii="Times New Roman" w:hAnsi="Times New Roman" w:cs="Times New Roman" w:eastAsiaTheme="minorEastAsia"/>
          <w:b/>
          <w:bCs/>
          <w:color w:val="000000"/>
          <w:kern w:val="0"/>
          <w:sz w:val="24"/>
          <w:szCs w:val="24"/>
        </w:rPr>
        <w:t>二、关联关系说明</w:t>
      </w:r>
    </w:p>
    <w:p>
      <w:pPr>
        <w:widowControl/>
        <w:shd w:val="clear" w:color="auto" w:fill="FFFFFF"/>
        <w:spacing w:line="360" w:lineRule="auto"/>
        <w:ind w:firstLine="480" w:firstLineChars="200"/>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公司与上述受托方之间不存在关联关系。</w:t>
      </w:r>
    </w:p>
    <w:p>
      <w:pPr>
        <w:widowControl/>
        <w:shd w:val="clear" w:color="auto" w:fill="FFFFFF"/>
        <w:spacing w:before="93" w:beforeLines="30" w:after="93" w:afterLines="30" w:line="360" w:lineRule="auto"/>
        <w:ind w:firstLine="482" w:firstLineChars="200"/>
        <w:jc w:val="left"/>
        <w:rPr>
          <w:rFonts w:hint="default" w:ascii="Times New Roman" w:hAnsi="Times New Roman" w:cs="Times New Roman" w:eastAsiaTheme="minorEastAsia"/>
          <w:b/>
          <w:bCs/>
          <w:color w:val="000000"/>
          <w:kern w:val="0"/>
          <w:sz w:val="24"/>
          <w:szCs w:val="24"/>
        </w:rPr>
      </w:pPr>
      <w:r>
        <w:rPr>
          <w:rFonts w:hint="default" w:ascii="Times New Roman" w:hAnsi="Times New Roman" w:cs="Times New Roman" w:eastAsiaTheme="minorEastAsia"/>
          <w:b/>
          <w:bCs/>
          <w:color w:val="000000"/>
          <w:kern w:val="0"/>
          <w:sz w:val="24"/>
          <w:szCs w:val="24"/>
        </w:rPr>
        <w:t>三、审批程序</w:t>
      </w:r>
    </w:p>
    <w:p>
      <w:pPr>
        <w:widowControl/>
        <w:shd w:val="clear" w:color="auto" w:fill="FFFFFF"/>
        <w:spacing w:line="360" w:lineRule="auto"/>
        <w:ind w:firstLine="480" w:firstLineChars="200"/>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公司2022年3月1日召开的第八届董事会第六次会议、第八届监事会第六次会议及2022年3月17日召开的2022年第一次临时股东大会，分别审议通过了《关于使用部分闲置募集资金和自有资金进行现金管理的议案》。公司独立董事就该事项发表了</w:t>
      </w:r>
      <w:r>
        <w:rPr>
          <w:rFonts w:hint="default" w:ascii="Times New Roman" w:hAnsi="Times New Roman" w:cs="Times New Roman" w:eastAsiaTheme="minorEastAsia"/>
          <w:color w:val="000000"/>
          <w:kern w:val="0"/>
          <w:sz w:val="24"/>
          <w:szCs w:val="24"/>
          <w:lang w:val="en-US" w:eastAsia="zh-CN"/>
        </w:rPr>
        <w:t>同意的</w:t>
      </w:r>
      <w:r>
        <w:rPr>
          <w:rFonts w:hint="default" w:ascii="Times New Roman" w:hAnsi="Times New Roman" w:cs="Times New Roman" w:eastAsiaTheme="minorEastAsia"/>
          <w:color w:val="000000"/>
          <w:kern w:val="0"/>
          <w:sz w:val="24"/>
          <w:szCs w:val="24"/>
        </w:rPr>
        <w:t>独立意见，保荐机构就该事项进行了核查并出具无异议的核查意见。本次现金管理的额度在股东大会审批额度内，无需另行提交董事会、股东大会审议。</w:t>
      </w:r>
    </w:p>
    <w:p>
      <w:pPr>
        <w:widowControl/>
        <w:shd w:val="clear" w:color="auto" w:fill="FFFFFF"/>
        <w:spacing w:before="62" w:beforeLines="20" w:after="62" w:afterLines="20" w:line="360" w:lineRule="auto"/>
        <w:ind w:firstLine="482" w:firstLineChars="200"/>
        <w:jc w:val="left"/>
        <w:rPr>
          <w:rFonts w:hint="default" w:ascii="Times New Roman" w:hAnsi="Times New Roman" w:cs="Times New Roman" w:eastAsiaTheme="minorEastAsia"/>
          <w:b/>
          <w:bCs/>
          <w:color w:val="000000"/>
          <w:kern w:val="0"/>
          <w:sz w:val="24"/>
          <w:szCs w:val="24"/>
        </w:rPr>
      </w:pPr>
      <w:r>
        <w:rPr>
          <w:rFonts w:hint="default" w:ascii="Times New Roman" w:hAnsi="Times New Roman" w:cs="Times New Roman" w:eastAsiaTheme="minorEastAsia"/>
          <w:b/>
          <w:bCs/>
          <w:color w:val="000000"/>
          <w:kern w:val="0"/>
          <w:sz w:val="24"/>
          <w:szCs w:val="24"/>
        </w:rPr>
        <w:t>四、投资风险及风险控制措施</w:t>
      </w:r>
    </w:p>
    <w:p>
      <w:pPr>
        <w:spacing w:line="360" w:lineRule="auto"/>
        <w:ind w:firstLine="360" w:firstLineChars="150"/>
        <w:rPr>
          <w:rFonts w:hint="default" w:ascii="Times New Roman" w:hAnsi="Times New Roman" w:cs="Times New Roman"/>
          <w:sz w:val="24"/>
        </w:rPr>
      </w:pPr>
      <w:bookmarkStart w:id="4" w:name="_Hlk93180851"/>
      <w:r>
        <w:rPr>
          <w:rFonts w:hint="default" w:ascii="Times New Roman" w:hAnsi="Times New Roman" w:cs="Times New Roman"/>
          <w:sz w:val="24"/>
        </w:rPr>
        <w:t>（一）投资风险</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1.虽然理财产品都经过严格的评估，但金融市场受宏观经济的影响较大，不排除该项投资受到市场波动的影响。</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2.公司将根据经济形势以及金融市场的变化适时适量的介入，因此短期投资的实际收益不可预期。</w:t>
      </w:r>
    </w:p>
    <w:p>
      <w:pPr>
        <w:spacing w:line="360" w:lineRule="auto"/>
        <w:ind w:firstLine="360" w:firstLineChars="150"/>
        <w:rPr>
          <w:rFonts w:hint="default" w:ascii="Times New Roman" w:hAnsi="Times New Roman" w:cs="Times New Roman"/>
          <w:sz w:val="24"/>
        </w:rPr>
      </w:pPr>
      <w:r>
        <w:rPr>
          <w:rFonts w:hint="default" w:ascii="Times New Roman" w:hAnsi="Times New Roman" w:cs="Times New Roman"/>
          <w:sz w:val="24"/>
        </w:rPr>
        <w:t>（二）针对投资风险，公司拟采取如下措施：</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1.公司将严格遵守审慎投资原则，选择低风险投资品种。不得用于其他证券投资，不购买股票及其衍生品和无担保债券为投资标的银行理财产品等。</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2.公司将及时分析和跟踪理财产品投向，在上述理财产品理财期间，公司将与相关金融机构保持密切联系，及时跟踪理财资金的运作情况，加强风险控制和监督，严格控制资金的安全。</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3.公司内审部门对理财资金使用与保管情况进行日常监督，定期对理财资金使用情况进行审计、核实。</w:t>
      </w:r>
    </w:p>
    <w:p>
      <w:pPr>
        <w:spacing w:line="360" w:lineRule="auto"/>
        <w:ind w:firstLine="480" w:firstLineChars="200"/>
        <w:rPr>
          <w:rFonts w:hint="default" w:ascii="Times New Roman" w:hAnsi="Times New Roman" w:cs="Times New Roman"/>
          <w:sz w:val="24"/>
        </w:rPr>
      </w:pPr>
      <w:r>
        <w:rPr>
          <w:rFonts w:hint="default" w:ascii="Times New Roman" w:hAnsi="Times New Roman" w:cs="Times New Roman"/>
          <w:sz w:val="24"/>
        </w:rPr>
        <w:t>4.公司监事会、独立董事有权对资金使用情况进行监督与检查，必要时可以聘请专业机构进行审计。</w:t>
      </w:r>
    </w:p>
    <w:p>
      <w:pPr>
        <w:tabs>
          <w:tab w:val="left" w:pos="540"/>
        </w:tabs>
        <w:spacing w:line="360" w:lineRule="auto"/>
        <w:ind w:firstLine="480" w:firstLineChars="200"/>
        <w:rPr>
          <w:rFonts w:hint="default" w:ascii="Times New Roman" w:hAnsi="Times New Roman" w:cs="Times New Roman"/>
          <w:sz w:val="30"/>
          <w:szCs w:val="30"/>
          <w:shd w:val="clear" w:color="auto" w:fill="FFFFFF"/>
        </w:rPr>
      </w:pPr>
      <w:r>
        <w:rPr>
          <w:rFonts w:hint="default" w:ascii="Times New Roman" w:hAnsi="Times New Roman" w:cs="Times New Roman"/>
          <w:sz w:val="24"/>
        </w:rPr>
        <w:t>5.公司将依据深圳证券交易所的相关规定，及时做好相关信息披露工作。</w:t>
      </w:r>
    </w:p>
    <w:bookmarkEnd w:id="4"/>
    <w:p>
      <w:pPr>
        <w:widowControl/>
        <w:shd w:val="clear" w:color="auto" w:fill="FFFFFF"/>
        <w:spacing w:before="62" w:beforeLines="20" w:after="62" w:afterLines="20" w:line="360" w:lineRule="auto"/>
        <w:ind w:firstLine="482" w:firstLineChars="200"/>
        <w:jc w:val="left"/>
        <w:rPr>
          <w:rFonts w:hint="default" w:ascii="Times New Roman" w:hAnsi="Times New Roman" w:cs="Times New Roman" w:eastAsiaTheme="minorEastAsia"/>
          <w:b/>
          <w:bCs/>
          <w:color w:val="000000"/>
          <w:kern w:val="0"/>
          <w:sz w:val="24"/>
          <w:szCs w:val="24"/>
        </w:rPr>
      </w:pPr>
      <w:r>
        <w:rPr>
          <w:rFonts w:hint="default" w:ascii="Times New Roman" w:hAnsi="Times New Roman" w:cs="Times New Roman" w:eastAsiaTheme="minorEastAsia"/>
          <w:b/>
          <w:bCs/>
          <w:color w:val="000000"/>
          <w:kern w:val="0"/>
          <w:sz w:val="24"/>
          <w:szCs w:val="24"/>
        </w:rPr>
        <w:t>五、对公司日常经营的影响</w:t>
      </w:r>
    </w:p>
    <w:p>
      <w:pPr>
        <w:tabs>
          <w:tab w:val="left" w:pos="540"/>
        </w:tabs>
        <w:spacing w:line="360" w:lineRule="auto"/>
        <w:ind w:firstLine="480" w:firstLineChars="200"/>
        <w:rPr>
          <w:rFonts w:hint="default" w:ascii="Times New Roman" w:hAnsi="Times New Roman" w:cs="Times New Roman" w:eastAsiaTheme="minorEastAsia"/>
          <w:b/>
          <w:bCs/>
          <w:color w:val="000000"/>
          <w:kern w:val="0"/>
          <w:sz w:val="24"/>
          <w:szCs w:val="24"/>
        </w:rPr>
      </w:pPr>
      <w:r>
        <w:rPr>
          <w:rFonts w:hint="default" w:ascii="Times New Roman" w:hAnsi="Times New Roman" w:cs="Times New Roman"/>
          <w:sz w:val="24"/>
        </w:rPr>
        <w:t>在符合国家法律法规，确保不影响公司募集资金投资项目正常进行和资金安全的前提下，公司使用部分闲置募集资金进行现金管理，不会影响募集资金投资项目的正常开展和正常的生产经营。通过适度现金管理，可以提高募集资金使用效率，获得一定的投资收益，为公司股东谋取更多的投资回报。不存在与募集资金投资项目的实施计划相互抵触的情形，同时也不存在变相改变募集资金投向的情形。</w:t>
      </w:r>
    </w:p>
    <w:p>
      <w:pPr>
        <w:widowControl/>
        <w:shd w:val="clear" w:color="auto" w:fill="FFFFFF"/>
        <w:spacing w:before="124" w:beforeLines="40" w:after="124" w:afterLines="40" w:line="360" w:lineRule="auto"/>
        <w:ind w:firstLine="426" w:firstLineChars="177"/>
        <w:jc w:val="left"/>
        <w:rPr>
          <w:rFonts w:hint="default" w:ascii="Times New Roman" w:hAnsi="Times New Roman" w:cs="Times New Roman" w:eastAsiaTheme="minorEastAsia"/>
          <w:b/>
          <w:bCs/>
          <w:color w:val="000000"/>
          <w:kern w:val="0"/>
          <w:sz w:val="24"/>
          <w:szCs w:val="24"/>
        </w:rPr>
      </w:pPr>
      <w:r>
        <w:rPr>
          <w:rFonts w:hint="default" w:ascii="Times New Roman" w:hAnsi="Times New Roman" w:cs="Times New Roman" w:eastAsiaTheme="minorEastAsia"/>
          <w:b/>
          <w:bCs/>
          <w:color w:val="000000"/>
          <w:kern w:val="0"/>
          <w:sz w:val="24"/>
          <w:szCs w:val="24"/>
        </w:rPr>
        <w:t>六、公告日前十二个月内公司使用闲置募集资金和自有资金进行现金管理的情况</w:t>
      </w:r>
    </w:p>
    <w:tbl>
      <w:tblPr>
        <w:tblStyle w:val="11"/>
        <w:tblW w:w="1038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1"/>
        <w:gridCol w:w="953"/>
        <w:gridCol w:w="1815"/>
        <w:gridCol w:w="724"/>
        <w:gridCol w:w="1132"/>
        <w:gridCol w:w="1080"/>
        <w:gridCol w:w="886"/>
        <w:gridCol w:w="985"/>
        <w:gridCol w:w="607"/>
        <w:gridCol w:w="593"/>
        <w:gridCol w:w="11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序号</w:t>
            </w:r>
          </w:p>
        </w:tc>
        <w:tc>
          <w:tcPr>
            <w:tcW w:w="953"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受托方</w:t>
            </w:r>
          </w:p>
        </w:tc>
        <w:tc>
          <w:tcPr>
            <w:tcW w:w="1815"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产品名称</w:t>
            </w:r>
          </w:p>
        </w:tc>
        <w:tc>
          <w:tcPr>
            <w:tcW w:w="724"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金额(万元)</w:t>
            </w:r>
          </w:p>
        </w:tc>
        <w:tc>
          <w:tcPr>
            <w:tcW w:w="1132"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起息日</w:t>
            </w:r>
          </w:p>
        </w:tc>
        <w:tc>
          <w:tcPr>
            <w:tcW w:w="1080"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到期日</w:t>
            </w:r>
          </w:p>
        </w:tc>
        <w:tc>
          <w:tcPr>
            <w:tcW w:w="886"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产品类型</w:t>
            </w:r>
          </w:p>
        </w:tc>
        <w:tc>
          <w:tcPr>
            <w:tcW w:w="985"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预期年化收益率</w:t>
            </w:r>
          </w:p>
        </w:tc>
        <w:tc>
          <w:tcPr>
            <w:tcW w:w="607" w:type="dxa"/>
            <w:shd w:val="clear" w:color="auto" w:fill="D7D7D7" w:themeFill="background1" w:themeFillShade="D8"/>
            <w:vAlign w:val="center"/>
          </w:tcPr>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资金来源</w:t>
            </w:r>
          </w:p>
        </w:tc>
        <w:tc>
          <w:tcPr>
            <w:tcW w:w="593" w:type="dxa"/>
            <w:shd w:val="clear" w:color="auto" w:fill="D7D7D7" w:themeFill="background1" w:themeFillShade="D8"/>
          </w:tcPr>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是否到期赎回</w:t>
            </w:r>
          </w:p>
        </w:tc>
        <w:tc>
          <w:tcPr>
            <w:tcW w:w="1178" w:type="dxa"/>
            <w:shd w:val="clear" w:color="auto" w:fill="D7D7D7" w:themeFill="background1" w:themeFillShade="D8"/>
          </w:tcPr>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投资</w:t>
            </w:r>
          </w:p>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收益</w:t>
            </w:r>
          </w:p>
          <w:p>
            <w:pPr>
              <w:widowControl/>
              <w:jc w:val="center"/>
              <w:rPr>
                <w:rFonts w:hint="default" w:ascii="Times New Roman" w:hAnsi="Times New Roman" w:cs="Times New Roman" w:eastAsiaTheme="minorEastAsia"/>
                <w:b/>
                <w:bCs/>
                <w:color w:val="000000"/>
                <w:kern w:val="0"/>
                <w:sz w:val="18"/>
                <w:szCs w:val="18"/>
              </w:rPr>
            </w:pPr>
            <w:r>
              <w:rPr>
                <w:rFonts w:hint="default" w:ascii="Times New Roman" w:hAnsi="Times New Roman" w:cs="Times New Roman" w:eastAsiaTheme="minorEastAsia"/>
                <w:b/>
                <w:bCs/>
                <w:color w:val="000000"/>
                <w:kern w:val="0"/>
                <w:sz w:val="18"/>
                <w:szCs w:val="18"/>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431" w:type="dxa"/>
            <w:shd w:val="clear" w:color="auto" w:fill="auto"/>
            <w:vAlign w:val="center"/>
          </w:tcPr>
          <w:p>
            <w:pPr>
              <w:widowControl/>
              <w:jc w:val="center"/>
              <w:rPr>
                <w:rFonts w:hint="eastAsia" w:ascii="Times New Roman" w:hAnsi="Times New Roman" w:cs="Times New Roman" w:eastAsiaTheme="minorEastAsia"/>
                <w:color w:val="000000"/>
                <w:kern w:val="0"/>
                <w:sz w:val="18"/>
                <w:szCs w:val="18"/>
                <w:lang w:val="en-US" w:eastAsia="zh-CN" w:bidi="ar-SA"/>
              </w:rPr>
            </w:pPr>
            <w:r>
              <w:rPr>
                <w:rFonts w:hint="eastAsia" w:cs="Times New Roman" w:eastAsiaTheme="minorEastAsia"/>
                <w:color w:val="000000"/>
                <w:kern w:val="0"/>
                <w:sz w:val="18"/>
                <w:szCs w:val="18"/>
                <w:lang w:val="en-US" w:eastAsia="zh-CN"/>
              </w:rPr>
              <w:t>1</w:t>
            </w:r>
          </w:p>
        </w:tc>
        <w:tc>
          <w:tcPr>
            <w:tcW w:w="953" w:type="dxa"/>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eastAsiaTheme="minorEastAsia"/>
                <w:color w:val="000000"/>
                <w:kern w:val="0"/>
                <w:sz w:val="18"/>
                <w:szCs w:val="18"/>
              </w:rPr>
              <w:t>中国工商银行股份有限公司</w:t>
            </w:r>
          </w:p>
        </w:tc>
        <w:tc>
          <w:tcPr>
            <w:tcW w:w="1815" w:type="dxa"/>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eastAsiaTheme="minorEastAsia"/>
                <w:color w:val="000000"/>
                <w:kern w:val="0"/>
                <w:sz w:val="18"/>
                <w:szCs w:val="18"/>
              </w:rPr>
              <w:t>挂钩汇率区间累计型法人结构性存款—专户型2021年第292期F款</w:t>
            </w:r>
          </w:p>
        </w:tc>
        <w:tc>
          <w:tcPr>
            <w:tcW w:w="724" w:type="dxa"/>
            <w:shd w:val="clear" w:color="auto" w:fill="auto"/>
            <w:vAlign w:val="center"/>
          </w:tcPr>
          <w:p>
            <w:pPr>
              <w:widowControl/>
              <w:jc w:val="center"/>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eastAsiaTheme="minorEastAsia"/>
                <w:color w:val="000000"/>
                <w:kern w:val="0"/>
                <w:sz w:val="18"/>
                <w:szCs w:val="18"/>
              </w:rPr>
              <w:t>5,000</w:t>
            </w:r>
          </w:p>
        </w:tc>
        <w:tc>
          <w:tcPr>
            <w:tcW w:w="1132" w:type="dxa"/>
            <w:shd w:val="clear" w:color="auto" w:fill="auto"/>
            <w:vAlign w:val="center"/>
          </w:tcPr>
          <w:p>
            <w:pPr>
              <w:widowControl/>
              <w:jc w:val="center"/>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eastAsiaTheme="minorEastAsia"/>
                <w:color w:val="000000"/>
                <w:kern w:val="0"/>
                <w:sz w:val="18"/>
                <w:szCs w:val="18"/>
              </w:rPr>
              <w:t>2021-9-29</w:t>
            </w:r>
          </w:p>
        </w:tc>
        <w:tc>
          <w:tcPr>
            <w:tcW w:w="1080" w:type="dxa"/>
            <w:shd w:val="clear" w:color="auto" w:fill="auto"/>
            <w:vAlign w:val="center"/>
          </w:tcPr>
          <w:p>
            <w:pPr>
              <w:widowControl/>
              <w:jc w:val="center"/>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eastAsiaTheme="minorEastAsia"/>
                <w:color w:val="000000"/>
                <w:kern w:val="0"/>
                <w:sz w:val="18"/>
                <w:szCs w:val="18"/>
              </w:rPr>
              <w:t>2021-11-29</w:t>
            </w:r>
          </w:p>
        </w:tc>
        <w:tc>
          <w:tcPr>
            <w:tcW w:w="886" w:type="dxa"/>
            <w:shd w:val="clear" w:color="auto" w:fill="auto"/>
            <w:vAlign w:val="center"/>
          </w:tcPr>
          <w:p>
            <w:pPr>
              <w:widowControl/>
              <w:jc w:val="center"/>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eastAsiaTheme="minorEastAsia"/>
                <w:color w:val="000000"/>
                <w:kern w:val="0"/>
                <w:sz w:val="18"/>
                <w:szCs w:val="18"/>
              </w:rPr>
              <w:t>保本浮动收益型</w:t>
            </w:r>
          </w:p>
        </w:tc>
        <w:tc>
          <w:tcPr>
            <w:tcW w:w="985" w:type="dxa"/>
            <w:shd w:val="clear" w:color="auto" w:fill="auto"/>
            <w:vAlign w:val="center"/>
          </w:tcPr>
          <w:p>
            <w:pPr>
              <w:widowControl/>
              <w:jc w:val="center"/>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eastAsiaTheme="minorEastAsia"/>
                <w:color w:val="000000"/>
                <w:kern w:val="0"/>
                <w:sz w:val="18"/>
                <w:szCs w:val="18"/>
              </w:rPr>
              <w:t>1.05%至3.40%</w:t>
            </w:r>
          </w:p>
        </w:tc>
        <w:tc>
          <w:tcPr>
            <w:tcW w:w="607" w:type="dxa"/>
            <w:shd w:val="clear" w:color="auto" w:fill="auto"/>
            <w:vAlign w:val="center"/>
          </w:tcPr>
          <w:p>
            <w:pPr>
              <w:widowControl/>
              <w:jc w:val="left"/>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eastAsiaTheme="minorEastAsia"/>
                <w:color w:val="000000"/>
                <w:kern w:val="0"/>
                <w:sz w:val="18"/>
                <w:szCs w:val="18"/>
              </w:rPr>
              <w:t>募集资金</w:t>
            </w:r>
          </w:p>
        </w:tc>
        <w:tc>
          <w:tcPr>
            <w:tcW w:w="593" w:type="dxa"/>
            <w:shd w:val="clear" w:color="auto" w:fill="auto"/>
            <w:vAlign w:val="center"/>
          </w:tcPr>
          <w:p>
            <w:pPr>
              <w:widowControl/>
              <w:jc w:val="center"/>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eastAsiaTheme="minorEastAsia"/>
                <w:color w:val="000000"/>
                <w:kern w:val="0"/>
                <w:sz w:val="18"/>
                <w:szCs w:val="18"/>
              </w:rPr>
              <w:t>是</w:t>
            </w:r>
          </w:p>
        </w:tc>
        <w:tc>
          <w:tcPr>
            <w:tcW w:w="1178" w:type="dxa"/>
            <w:shd w:val="clear" w:color="auto" w:fill="auto"/>
            <w:vAlign w:val="center"/>
          </w:tcPr>
          <w:p>
            <w:pPr>
              <w:widowControl/>
              <w:jc w:val="center"/>
              <w:rPr>
                <w:rFonts w:hint="default" w:ascii="Times New Roman" w:hAnsi="Times New Roman" w:cs="Times New Roman" w:eastAsiaTheme="minorEastAsia"/>
                <w:color w:val="000000"/>
                <w:kern w:val="0"/>
                <w:sz w:val="18"/>
                <w:szCs w:val="18"/>
                <w:lang w:val="en-US" w:eastAsia="zh-CN" w:bidi="ar-SA"/>
              </w:rPr>
            </w:pPr>
            <w:r>
              <w:rPr>
                <w:rFonts w:hint="default" w:ascii="Times New Roman" w:hAnsi="Times New Roman" w:cs="Times New Roman" w:eastAsiaTheme="minorEastAsia"/>
                <w:color w:val="000000"/>
                <w:kern w:val="0"/>
                <w:sz w:val="18"/>
                <w:szCs w:val="18"/>
              </w:rPr>
              <w:t>208,319.18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31" w:type="dxa"/>
            <w:vAlign w:val="center"/>
          </w:tcPr>
          <w:p>
            <w:pPr>
              <w:widowControl/>
              <w:jc w:val="center"/>
              <w:rPr>
                <w:rFonts w:hint="eastAsia" w:ascii="Times New Roman" w:hAnsi="Times New Roman" w:cs="Times New Roman" w:eastAsiaTheme="minorEastAsia"/>
                <w:color w:val="000000"/>
                <w:kern w:val="0"/>
                <w:sz w:val="18"/>
                <w:szCs w:val="18"/>
                <w:lang w:eastAsia="zh-CN"/>
              </w:rPr>
            </w:pPr>
            <w:r>
              <w:rPr>
                <w:rFonts w:hint="eastAsia" w:cs="Times New Roman" w:eastAsiaTheme="minorEastAsia"/>
                <w:color w:val="000000"/>
                <w:kern w:val="0"/>
                <w:sz w:val="18"/>
                <w:szCs w:val="18"/>
                <w:lang w:val="en-US" w:eastAsia="zh-CN"/>
              </w:rPr>
              <w:t>2</w:t>
            </w:r>
          </w:p>
        </w:tc>
        <w:tc>
          <w:tcPr>
            <w:tcW w:w="953"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宁波银行股份有限公司</w:t>
            </w:r>
          </w:p>
        </w:tc>
        <w:tc>
          <w:tcPr>
            <w:tcW w:w="1815"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2021年单位结构性存款 211477</w:t>
            </w:r>
          </w:p>
        </w:tc>
        <w:tc>
          <w:tcPr>
            <w:tcW w:w="724"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2,500</w:t>
            </w:r>
          </w:p>
        </w:tc>
        <w:tc>
          <w:tcPr>
            <w:tcW w:w="1132"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2021-9-30</w:t>
            </w:r>
          </w:p>
        </w:tc>
        <w:tc>
          <w:tcPr>
            <w:tcW w:w="1080"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2022-03-28</w:t>
            </w:r>
          </w:p>
        </w:tc>
        <w:tc>
          <w:tcPr>
            <w:tcW w:w="886"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保本浮动型</w:t>
            </w:r>
          </w:p>
        </w:tc>
        <w:tc>
          <w:tcPr>
            <w:tcW w:w="985"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3.40%或1.00%</w:t>
            </w:r>
          </w:p>
        </w:tc>
        <w:tc>
          <w:tcPr>
            <w:tcW w:w="607"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募集资金</w:t>
            </w:r>
          </w:p>
        </w:tc>
        <w:tc>
          <w:tcPr>
            <w:tcW w:w="593"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是</w:t>
            </w:r>
          </w:p>
        </w:tc>
        <w:tc>
          <w:tcPr>
            <w:tcW w:w="1178"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416,849.32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31" w:type="dxa"/>
            <w:vAlign w:val="center"/>
          </w:tcPr>
          <w:p>
            <w:pPr>
              <w:widowControl/>
              <w:jc w:val="center"/>
              <w:rPr>
                <w:rFonts w:hint="eastAsia" w:ascii="Times New Roman" w:hAnsi="Times New Roman" w:cs="Times New Roman" w:eastAsiaTheme="minorEastAsia"/>
                <w:color w:val="000000"/>
                <w:kern w:val="0"/>
                <w:sz w:val="18"/>
                <w:szCs w:val="18"/>
                <w:lang w:eastAsia="zh-CN"/>
              </w:rPr>
            </w:pPr>
            <w:r>
              <w:rPr>
                <w:rFonts w:hint="eastAsia" w:cs="Times New Roman" w:eastAsiaTheme="minorEastAsia"/>
                <w:color w:val="000000"/>
                <w:kern w:val="0"/>
                <w:sz w:val="18"/>
                <w:szCs w:val="18"/>
                <w:lang w:val="en-US" w:eastAsia="zh-CN"/>
              </w:rPr>
              <w:t>3</w:t>
            </w:r>
          </w:p>
        </w:tc>
        <w:tc>
          <w:tcPr>
            <w:tcW w:w="953"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财通证券股份有限公司</w:t>
            </w:r>
          </w:p>
        </w:tc>
        <w:tc>
          <w:tcPr>
            <w:tcW w:w="1815"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财通证券财赢通系列中证500指数二元看涨1号收益凭证</w:t>
            </w:r>
          </w:p>
        </w:tc>
        <w:tc>
          <w:tcPr>
            <w:tcW w:w="724"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2,200</w:t>
            </w:r>
          </w:p>
        </w:tc>
        <w:tc>
          <w:tcPr>
            <w:tcW w:w="1132"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2021-12-8</w:t>
            </w:r>
          </w:p>
        </w:tc>
        <w:tc>
          <w:tcPr>
            <w:tcW w:w="1080"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2022-01-13</w:t>
            </w:r>
          </w:p>
        </w:tc>
        <w:tc>
          <w:tcPr>
            <w:tcW w:w="886"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本金保障型浮动收益凭证</w:t>
            </w:r>
          </w:p>
        </w:tc>
        <w:tc>
          <w:tcPr>
            <w:tcW w:w="985"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一级收益4.00%/二级收益2.80%</w:t>
            </w:r>
          </w:p>
        </w:tc>
        <w:tc>
          <w:tcPr>
            <w:tcW w:w="607"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募集资金</w:t>
            </w:r>
          </w:p>
        </w:tc>
        <w:tc>
          <w:tcPr>
            <w:tcW w:w="593"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是</w:t>
            </w:r>
          </w:p>
        </w:tc>
        <w:tc>
          <w:tcPr>
            <w:tcW w:w="1178"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62,789.05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31" w:type="dxa"/>
            <w:vAlign w:val="center"/>
          </w:tcPr>
          <w:p>
            <w:pPr>
              <w:widowControl/>
              <w:jc w:val="center"/>
              <w:rPr>
                <w:rFonts w:hint="eastAsia" w:ascii="Times New Roman" w:hAnsi="Times New Roman" w:cs="Times New Roman" w:eastAsiaTheme="minorEastAsia"/>
                <w:color w:val="000000"/>
                <w:kern w:val="0"/>
                <w:sz w:val="18"/>
                <w:szCs w:val="18"/>
                <w:lang w:val="en-US" w:eastAsia="zh-CN"/>
              </w:rPr>
            </w:pPr>
            <w:r>
              <w:rPr>
                <w:rFonts w:hint="eastAsia" w:cs="Times New Roman" w:eastAsiaTheme="minorEastAsia"/>
                <w:color w:val="000000"/>
                <w:kern w:val="0"/>
                <w:sz w:val="18"/>
                <w:szCs w:val="18"/>
                <w:lang w:val="en-US" w:eastAsia="zh-CN"/>
              </w:rPr>
              <w:t>4</w:t>
            </w:r>
          </w:p>
        </w:tc>
        <w:tc>
          <w:tcPr>
            <w:tcW w:w="953"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财通证券股份有限公司</w:t>
            </w:r>
          </w:p>
        </w:tc>
        <w:tc>
          <w:tcPr>
            <w:tcW w:w="1815"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财通证券财赢通系列中证500指数二元看涨2号收益凭证</w:t>
            </w:r>
          </w:p>
        </w:tc>
        <w:tc>
          <w:tcPr>
            <w:tcW w:w="724"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1,400</w:t>
            </w:r>
          </w:p>
        </w:tc>
        <w:tc>
          <w:tcPr>
            <w:tcW w:w="1132"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2021-12-8</w:t>
            </w:r>
          </w:p>
        </w:tc>
        <w:tc>
          <w:tcPr>
            <w:tcW w:w="1080"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2022-06-09</w:t>
            </w:r>
          </w:p>
        </w:tc>
        <w:tc>
          <w:tcPr>
            <w:tcW w:w="886"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本金保障型浮动收益凭证</w:t>
            </w:r>
          </w:p>
        </w:tc>
        <w:tc>
          <w:tcPr>
            <w:tcW w:w="985"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一级收益4.20%/二级收益2.80%</w:t>
            </w:r>
          </w:p>
        </w:tc>
        <w:tc>
          <w:tcPr>
            <w:tcW w:w="607"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募集资金</w:t>
            </w:r>
          </w:p>
        </w:tc>
        <w:tc>
          <w:tcPr>
            <w:tcW w:w="593"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是</w:t>
            </w:r>
          </w:p>
        </w:tc>
        <w:tc>
          <w:tcPr>
            <w:tcW w:w="1178"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197</w:t>
            </w:r>
            <w:r>
              <w:rPr>
                <w:rFonts w:hint="eastAsia" w:cs="Times New Roman" w:eastAsiaTheme="minorEastAsia"/>
                <w:color w:val="000000"/>
                <w:kern w:val="0"/>
                <w:sz w:val="18"/>
                <w:szCs w:val="18"/>
                <w:lang w:val="en-US" w:eastAsia="zh-CN"/>
              </w:rPr>
              <w:t>,</w:t>
            </w:r>
            <w:r>
              <w:rPr>
                <w:rFonts w:hint="default" w:ascii="Times New Roman" w:hAnsi="Times New Roman" w:cs="Times New Roman" w:eastAsiaTheme="minorEastAsia"/>
                <w:color w:val="000000"/>
                <w:kern w:val="0"/>
                <w:sz w:val="18"/>
                <w:szCs w:val="18"/>
              </w:rPr>
              <w:t>610.96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31" w:type="dxa"/>
            <w:vAlign w:val="center"/>
          </w:tcPr>
          <w:p>
            <w:pPr>
              <w:widowControl/>
              <w:jc w:val="center"/>
              <w:rPr>
                <w:rFonts w:hint="eastAsia" w:ascii="Times New Roman" w:hAnsi="Times New Roman" w:cs="Times New Roman" w:eastAsiaTheme="minorEastAsia"/>
                <w:color w:val="000000"/>
                <w:kern w:val="0"/>
                <w:sz w:val="18"/>
                <w:szCs w:val="18"/>
                <w:lang w:val="en-US" w:eastAsia="zh-CN"/>
              </w:rPr>
            </w:pPr>
            <w:r>
              <w:rPr>
                <w:rFonts w:hint="eastAsia" w:cs="Times New Roman" w:eastAsiaTheme="minorEastAsia"/>
                <w:color w:val="000000"/>
                <w:kern w:val="0"/>
                <w:sz w:val="18"/>
                <w:szCs w:val="18"/>
                <w:lang w:val="en-US" w:eastAsia="zh-CN"/>
              </w:rPr>
              <w:t>5</w:t>
            </w:r>
          </w:p>
        </w:tc>
        <w:tc>
          <w:tcPr>
            <w:tcW w:w="953"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财通证券股份有限公司</w:t>
            </w:r>
          </w:p>
        </w:tc>
        <w:tc>
          <w:tcPr>
            <w:tcW w:w="1815"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财通证券财赢通系列中证500指数二元看涨4号收益凭证</w:t>
            </w:r>
          </w:p>
        </w:tc>
        <w:tc>
          <w:tcPr>
            <w:tcW w:w="724"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2,300</w:t>
            </w:r>
          </w:p>
        </w:tc>
        <w:tc>
          <w:tcPr>
            <w:tcW w:w="1132"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2022-01-18</w:t>
            </w:r>
          </w:p>
        </w:tc>
        <w:tc>
          <w:tcPr>
            <w:tcW w:w="1080"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2022-03-15</w:t>
            </w:r>
          </w:p>
        </w:tc>
        <w:tc>
          <w:tcPr>
            <w:tcW w:w="886"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本金保障型浮动收益凭证</w:t>
            </w:r>
          </w:p>
        </w:tc>
        <w:tc>
          <w:tcPr>
            <w:tcW w:w="985"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一级收益4.00%/二级收益2.80%</w:t>
            </w:r>
          </w:p>
        </w:tc>
        <w:tc>
          <w:tcPr>
            <w:tcW w:w="607"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募集资金</w:t>
            </w:r>
          </w:p>
        </w:tc>
        <w:tc>
          <w:tcPr>
            <w:tcW w:w="593"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是</w:t>
            </w:r>
          </w:p>
        </w:tc>
        <w:tc>
          <w:tcPr>
            <w:tcW w:w="1178"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100,569.86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31" w:type="dxa"/>
            <w:vAlign w:val="center"/>
          </w:tcPr>
          <w:p>
            <w:pPr>
              <w:widowControl/>
              <w:jc w:val="center"/>
              <w:rPr>
                <w:rFonts w:hint="eastAsia" w:ascii="Times New Roman" w:hAnsi="Times New Roman" w:cs="Times New Roman" w:eastAsiaTheme="minorEastAsia"/>
                <w:color w:val="000000"/>
                <w:kern w:val="0"/>
                <w:sz w:val="18"/>
                <w:szCs w:val="18"/>
                <w:lang w:val="en-US" w:eastAsia="zh-CN"/>
              </w:rPr>
            </w:pPr>
            <w:r>
              <w:rPr>
                <w:rFonts w:hint="eastAsia" w:cs="Times New Roman" w:eastAsiaTheme="minorEastAsia"/>
                <w:color w:val="000000"/>
                <w:kern w:val="0"/>
                <w:sz w:val="18"/>
                <w:szCs w:val="18"/>
                <w:lang w:val="en-US" w:eastAsia="zh-CN"/>
              </w:rPr>
              <w:t>6</w:t>
            </w:r>
          </w:p>
        </w:tc>
        <w:tc>
          <w:tcPr>
            <w:tcW w:w="953"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财通证券股份有限公司</w:t>
            </w:r>
          </w:p>
        </w:tc>
        <w:tc>
          <w:tcPr>
            <w:tcW w:w="1815"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财通证券财慧通626号收益凭证</w:t>
            </w:r>
          </w:p>
        </w:tc>
        <w:tc>
          <w:tcPr>
            <w:tcW w:w="724"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1,300</w:t>
            </w:r>
          </w:p>
        </w:tc>
        <w:tc>
          <w:tcPr>
            <w:tcW w:w="1132"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2022-01-19</w:t>
            </w:r>
          </w:p>
        </w:tc>
        <w:tc>
          <w:tcPr>
            <w:tcW w:w="1080"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2022-02-16</w:t>
            </w:r>
          </w:p>
        </w:tc>
        <w:tc>
          <w:tcPr>
            <w:tcW w:w="886"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本金保障型收益凭证</w:t>
            </w:r>
          </w:p>
        </w:tc>
        <w:tc>
          <w:tcPr>
            <w:tcW w:w="985"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3.0%</w:t>
            </w:r>
          </w:p>
        </w:tc>
        <w:tc>
          <w:tcPr>
            <w:tcW w:w="607"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募集资金</w:t>
            </w:r>
          </w:p>
        </w:tc>
        <w:tc>
          <w:tcPr>
            <w:tcW w:w="593"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是</w:t>
            </w:r>
          </w:p>
        </w:tc>
        <w:tc>
          <w:tcPr>
            <w:tcW w:w="1178"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30,986.30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31" w:type="dxa"/>
            <w:vAlign w:val="center"/>
          </w:tcPr>
          <w:p>
            <w:pPr>
              <w:widowControl/>
              <w:jc w:val="center"/>
              <w:rPr>
                <w:rFonts w:hint="eastAsia" w:ascii="Times New Roman" w:hAnsi="Times New Roman" w:cs="Times New Roman" w:eastAsiaTheme="minorEastAsia"/>
                <w:color w:val="000000"/>
                <w:kern w:val="0"/>
                <w:sz w:val="18"/>
                <w:szCs w:val="18"/>
                <w:lang w:val="en-US" w:eastAsia="zh-CN"/>
              </w:rPr>
            </w:pPr>
            <w:r>
              <w:rPr>
                <w:rFonts w:hint="eastAsia" w:cs="Times New Roman" w:eastAsiaTheme="minorEastAsia"/>
                <w:color w:val="000000"/>
                <w:kern w:val="0"/>
                <w:sz w:val="18"/>
                <w:szCs w:val="18"/>
                <w:lang w:val="en-US" w:eastAsia="zh-CN"/>
              </w:rPr>
              <w:t>7</w:t>
            </w:r>
          </w:p>
        </w:tc>
        <w:tc>
          <w:tcPr>
            <w:tcW w:w="953"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财通证券股份有限公司</w:t>
            </w:r>
          </w:p>
        </w:tc>
        <w:tc>
          <w:tcPr>
            <w:tcW w:w="1815"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财通证券财赢通系列中证500指数二元看涨7号收益凭证</w:t>
            </w:r>
          </w:p>
        </w:tc>
        <w:tc>
          <w:tcPr>
            <w:tcW w:w="724"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1,300</w:t>
            </w:r>
          </w:p>
        </w:tc>
        <w:tc>
          <w:tcPr>
            <w:tcW w:w="1132"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2022-02-18</w:t>
            </w:r>
          </w:p>
        </w:tc>
        <w:tc>
          <w:tcPr>
            <w:tcW w:w="1080"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2022-03-21</w:t>
            </w:r>
          </w:p>
        </w:tc>
        <w:tc>
          <w:tcPr>
            <w:tcW w:w="886"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本金保障型浮动收益凭证</w:t>
            </w:r>
          </w:p>
        </w:tc>
        <w:tc>
          <w:tcPr>
            <w:tcW w:w="985"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一级收益4.00%/二级收益2.80%</w:t>
            </w:r>
          </w:p>
        </w:tc>
        <w:tc>
          <w:tcPr>
            <w:tcW w:w="607"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募集资金</w:t>
            </w:r>
          </w:p>
        </w:tc>
        <w:tc>
          <w:tcPr>
            <w:tcW w:w="593"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是</w:t>
            </w:r>
          </w:p>
        </w:tc>
        <w:tc>
          <w:tcPr>
            <w:tcW w:w="1178"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33,105.12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31"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eastAsia" w:cs="Times New Roman" w:eastAsiaTheme="minorEastAsia"/>
                <w:color w:val="000000"/>
                <w:kern w:val="0"/>
                <w:sz w:val="18"/>
                <w:szCs w:val="18"/>
                <w:lang w:val="en-US" w:eastAsia="zh-CN"/>
              </w:rPr>
              <w:t>8</w:t>
            </w:r>
          </w:p>
        </w:tc>
        <w:tc>
          <w:tcPr>
            <w:tcW w:w="953"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财通证券股份有限公司</w:t>
            </w:r>
          </w:p>
        </w:tc>
        <w:tc>
          <w:tcPr>
            <w:tcW w:w="1815"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财通证券财赢通系列中证500指数二元看涨13号收益凭证</w:t>
            </w:r>
          </w:p>
        </w:tc>
        <w:tc>
          <w:tcPr>
            <w:tcW w:w="724"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2,300</w:t>
            </w:r>
          </w:p>
        </w:tc>
        <w:tc>
          <w:tcPr>
            <w:tcW w:w="1132"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2022-03-17</w:t>
            </w:r>
          </w:p>
        </w:tc>
        <w:tc>
          <w:tcPr>
            <w:tcW w:w="1080"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2022-04-18</w:t>
            </w:r>
          </w:p>
        </w:tc>
        <w:tc>
          <w:tcPr>
            <w:tcW w:w="886"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本金保障型浮动收益凭证</w:t>
            </w:r>
          </w:p>
        </w:tc>
        <w:tc>
          <w:tcPr>
            <w:tcW w:w="985"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一级收益3.50%/二级收益2.80%</w:t>
            </w:r>
          </w:p>
        </w:tc>
        <w:tc>
          <w:tcPr>
            <w:tcW w:w="607"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募集资金</w:t>
            </w:r>
          </w:p>
        </w:tc>
        <w:tc>
          <w:tcPr>
            <w:tcW w:w="593"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是</w:t>
            </w:r>
          </w:p>
        </w:tc>
        <w:tc>
          <w:tcPr>
            <w:tcW w:w="1178"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58,224.66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31" w:type="dxa"/>
            <w:vAlign w:val="center"/>
          </w:tcPr>
          <w:p>
            <w:pPr>
              <w:widowControl/>
              <w:jc w:val="center"/>
              <w:rPr>
                <w:rFonts w:hint="eastAsia" w:ascii="Times New Roman" w:hAnsi="Times New Roman" w:cs="Times New Roman" w:eastAsiaTheme="minorEastAsia"/>
                <w:color w:val="000000"/>
                <w:kern w:val="0"/>
                <w:sz w:val="18"/>
                <w:szCs w:val="18"/>
                <w:lang w:eastAsia="zh-CN"/>
              </w:rPr>
            </w:pPr>
            <w:r>
              <w:rPr>
                <w:rFonts w:hint="eastAsia" w:cs="Times New Roman" w:eastAsiaTheme="minorEastAsia"/>
                <w:color w:val="000000"/>
                <w:kern w:val="0"/>
                <w:sz w:val="18"/>
                <w:szCs w:val="18"/>
                <w:lang w:val="en-US" w:eastAsia="zh-CN"/>
              </w:rPr>
              <w:t>9</w:t>
            </w:r>
          </w:p>
        </w:tc>
        <w:tc>
          <w:tcPr>
            <w:tcW w:w="953"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宁波银行股份有限公司</w:t>
            </w:r>
          </w:p>
        </w:tc>
        <w:tc>
          <w:tcPr>
            <w:tcW w:w="1815"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lang w:val="en-US" w:eastAsia="ja-JP"/>
              </w:rPr>
              <w:t>2022</w:t>
            </w:r>
            <w:r>
              <w:rPr>
                <w:rFonts w:hint="default" w:ascii="Times New Roman" w:hAnsi="Times New Roman" w:cs="Times New Roman" w:eastAsiaTheme="minorEastAsia"/>
                <w:color w:val="000000"/>
                <w:kern w:val="0"/>
                <w:sz w:val="18"/>
                <w:szCs w:val="18"/>
                <w:lang w:val="en-US" w:eastAsia="zh-CN"/>
              </w:rPr>
              <w:t>年</w:t>
            </w:r>
            <w:r>
              <w:rPr>
                <w:rFonts w:hint="default" w:ascii="Times New Roman" w:hAnsi="Times New Roman" w:cs="Times New Roman" w:eastAsiaTheme="minorEastAsia"/>
                <w:color w:val="000000"/>
                <w:kern w:val="0"/>
                <w:sz w:val="18"/>
                <w:szCs w:val="18"/>
              </w:rPr>
              <w:t>单位结构性存款220610</w:t>
            </w:r>
          </w:p>
        </w:tc>
        <w:tc>
          <w:tcPr>
            <w:tcW w:w="724"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2,300</w:t>
            </w:r>
          </w:p>
        </w:tc>
        <w:tc>
          <w:tcPr>
            <w:tcW w:w="1132"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2022-03-30</w:t>
            </w:r>
          </w:p>
        </w:tc>
        <w:tc>
          <w:tcPr>
            <w:tcW w:w="1080"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2022-09-26</w:t>
            </w:r>
          </w:p>
        </w:tc>
        <w:tc>
          <w:tcPr>
            <w:tcW w:w="886"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保本浮动型</w:t>
            </w:r>
          </w:p>
        </w:tc>
        <w:tc>
          <w:tcPr>
            <w:tcW w:w="985"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1.00%-3.30%</w:t>
            </w:r>
          </w:p>
        </w:tc>
        <w:tc>
          <w:tcPr>
            <w:tcW w:w="607" w:type="dxa"/>
            <w:vAlign w:val="center"/>
          </w:tcPr>
          <w:p>
            <w:pPr>
              <w:widowControl/>
              <w:jc w:val="left"/>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募集资金</w:t>
            </w:r>
          </w:p>
        </w:tc>
        <w:tc>
          <w:tcPr>
            <w:tcW w:w="593"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是</w:t>
            </w:r>
          </w:p>
        </w:tc>
        <w:tc>
          <w:tcPr>
            <w:tcW w:w="1178"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eastAsia" w:cs="Times New Roman" w:eastAsiaTheme="minorEastAsia"/>
                <w:color w:val="000000"/>
                <w:kern w:val="0"/>
                <w:sz w:val="18"/>
                <w:szCs w:val="18"/>
                <w:lang w:val="en-US" w:eastAsia="zh-CN"/>
              </w:rPr>
              <w:t>311,120.32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31"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eastAsia" w:cs="Times New Roman" w:eastAsiaTheme="minorEastAsia"/>
                <w:color w:val="000000"/>
                <w:kern w:val="0"/>
                <w:sz w:val="18"/>
                <w:szCs w:val="18"/>
                <w:lang w:val="en-US" w:eastAsia="zh-CN"/>
              </w:rPr>
              <w:t>10</w:t>
            </w:r>
          </w:p>
        </w:tc>
        <w:tc>
          <w:tcPr>
            <w:tcW w:w="953"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财通证券股份有限公司</w:t>
            </w:r>
          </w:p>
        </w:tc>
        <w:tc>
          <w:tcPr>
            <w:tcW w:w="1815" w:type="dxa"/>
            <w:vAlign w:val="center"/>
          </w:tcPr>
          <w:p>
            <w:pPr>
              <w:widowControl/>
              <w:jc w:val="left"/>
              <w:rPr>
                <w:rFonts w:hint="default" w:ascii="Times New Roman" w:hAnsi="Times New Roman" w:cs="Times New Roman" w:eastAsiaTheme="minorEastAsia"/>
                <w:color w:val="000000"/>
                <w:kern w:val="0"/>
                <w:sz w:val="18"/>
                <w:szCs w:val="18"/>
                <w:lang w:val="en-US" w:eastAsia="ja-JP"/>
              </w:rPr>
            </w:pPr>
            <w:r>
              <w:rPr>
                <w:rFonts w:hint="default" w:ascii="Times New Roman" w:hAnsi="Times New Roman" w:cs="Times New Roman" w:eastAsiaTheme="minorEastAsia"/>
                <w:color w:val="000000"/>
                <w:kern w:val="0"/>
                <w:sz w:val="18"/>
                <w:szCs w:val="18"/>
                <w:lang w:val="en-US" w:eastAsia="zh-CN"/>
              </w:rPr>
              <w:t>财通证券财慧通664号收益凭证</w:t>
            </w:r>
          </w:p>
        </w:tc>
        <w:tc>
          <w:tcPr>
            <w:tcW w:w="724"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1</w:t>
            </w:r>
            <w:r>
              <w:rPr>
                <w:rFonts w:hint="default" w:ascii="Times New Roman" w:hAnsi="Times New Roman" w:cs="Times New Roman" w:eastAsiaTheme="minorEastAsia"/>
                <w:color w:val="000000"/>
                <w:kern w:val="0"/>
                <w:sz w:val="18"/>
                <w:szCs w:val="18"/>
              </w:rPr>
              <w:t>,</w:t>
            </w:r>
            <w:r>
              <w:rPr>
                <w:rFonts w:hint="default" w:ascii="Times New Roman" w:hAnsi="Times New Roman" w:cs="Times New Roman" w:eastAsiaTheme="minorEastAsia"/>
                <w:color w:val="000000"/>
                <w:kern w:val="0"/>
                <w:sz w:val="18"/>
                <w:szCs w:val="18"/>
                <w:lang w:val="en-US" w:eastAsia="zh-CN"/>
              </w:rPr>
              <w:t>8</w:t>
            </w:r>
            <w:r>
              <w:rPr>
                <w:rFonts w:hint="default" w:ascii="Times New Roman" w:hAnsi="Times New Roman" w:cs="Times New Roman" w:eastAsiaTheme="minorEastAsia"/>
                <w:color w:val="000000"/>
                <w:kern w:val="0"/>
                <w:sz w:val="18"/>
                <w:szCs w:val="18"/>
              </w:rPr>
              <w:t>00</w:t>
            </w:r>
          </w:p>
        </w:tc>
        <w:tc>
          <w:tcPr>
            <w:tcW w:w="1132"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rPr>
              <w:t>2022-0</w:t>
            </w:r>
            <w:r>
              <w:rPr>
                <w:rFonts w:hint="default" w:ascii="Times New Roman" w:hAnsi="Times New Roman" w:cs="Times New Roman" w:eastAsiaTheme="minorEastAsia"/>
                <w:color w:val="000000"/>
                <w:kern w:val="0"/>
                <w:sz w:val="18"/>
                <w:szCs w:val="18"/>
                <w:lang w:val="en-US" w:eastAsia="zh-CN"/>
              </w:rPr>
              <w:t>4</w:t>
            </w:r>
            <w:r>
              <w:rPr>
                <w:rFonts w:hint="default" w:ascii="Times New Roman" w:hAnsi="Times New Roman" w:cs="Times New Roman" w:eastAsiaTheme="minorEastAsia"/>
                <w:color w:val="000000"/>
                <w:kern w:val="0"/>
                <w:sz w:val="18"/>
                <w:szCs w:val="18"/>
              </w:rPr>
              <w:t>-</w:t>
            </w:r>
            <w:r>
              <w:rPr>
                <w:rFonts w:hint="default" w:ascii="Times New Roman" w:hAnsi="Times New Roman" w:cs="Times New Roman" w:eastAsiaTheme="minorEastAsia"/>
                <w:color w:val="000000"/>
                <w:kern w:val="0"/>
                <w:sz w:val="18"/>
                <w:szCs w:val="18"/>
                <w:lang w:val="en-US" w:eastAsia="zh-CN"/>
              </w:rPr>
              <w:t>27</w:t>
            </w:r>
          </w:p>
        </w:tc>
        <w:tc>
          <w:tcPr>
            <w:tcW w:w="1080"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rPr>
              <w:t>2022-0</w:t>
            </w:r>
            <w:r>
              <w:rPr>
                <w:rFonts w:hint="default" w:ascii="Times New Roman" w:hAnsi="Times New Roman" w:cs="Times New Roman" w:eastAsiaTheme="minorEastAsia"/>
                <w:color w:val="000000"/>
                <w:kern w:val="0"/>
                <w:sz w:val="18"/>
                <w:szCs w:val="18"/>
                <w:lang w:val="en-US" w:eastAsia="zh-CN"/>
              </w:rPr>
              <w:t>5</w:t>
            </w:r>
            <w:r>
              <w:rPr>
                <w:rFonts w:hint="default" w:ascii="Times New Roman" w:hAnsi="Times New Roman" w:cs="Times New Roman" w:eastAsiaTheme="minorEastAsia"/>
                <w:color w:val="000000"/>
                <w:kern w:val="0"/>
                <w:sz w:val="18"/>
                <w:szCs w:val="18"/>
              </w:rPr>
              <w:t>-2</w:t>
            </w:r>
            <w:r>
              <w:rPr>
                <w:rFonts w:hint="default" w:ascii="Times New Roman" w:hAnsi="Times New Roman" w:cs="Times New Roman" w:eastAsiaTheme="minorEastAsia"/>
                <w:color w:val="000000"/>
                <w:kern w:val="0"/>
                <w:sz w:val="18"/>
                <w:szCs w:val="18"/>
                <w:lang w:val="en-US" w:eastAsia="zh-CN"/>
              </w:rPr>
              <w:t>5</w:t>
            </w:r>
          </w:p>
        </w:tc>
        <w:tc>
          <w:tcPr>
            <w:tcW w:w="886"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本金保障型收益凭证</w:t>
            </w:r>
          </w:p>
        </w:tc>
        <w:tc>
          <w:tcPr>
            <w:tcW w:w="985"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rPr>
              <w:t>3.</w:t>
            </w:r>
            <w:r>
              <w:rPr>
                <w:rFonts w:hint="default" w:ascii="Times New Roman" w:hAnsi="Times New Roman" w:cs="Times New Roman" w:eastAsiaTheme="minorEastAsia"/>
                <w:color w:val="000000"/>
                <w:kern w:val="0"/>
                <w:sz w:val="18"/>
                <w:szCs w:val="18"/>
                <w:lang w:val="en-US" w:eastAsia="zh-CN"/>
              </w:rPr>
              <w:t>00</w:t>
            </w:r>
            <w:r>
              <w:rPr>
                <w:rFonts w:hint="default" w:ascii="Times New Roman" w:hAnsi="Times New Roman" w:cs="Times New Roman" w:eastAsiaTheme="minorEastAsia"/>
                <w:color w:val="000000"/>
                <w:kern w:val="0"/>
                <w:sz w:val="18"/>
                <w:szCs w:val="18"/>
              </w:rPr>
              <w:t>%</w:t>
            </w:r>
          </w:p>
        </w:tc>
        <w:tc>
          <w:tcPr>
            <w:tcW w:w="607"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rPr>
              <w:t>募集资金</w:t>
            </w:r>
          </w:p>
        </w:tc>
        <w:tc>
          <w:tcPr>
            <w:tcW w:w="593"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是</w:t>
            </w:r>
          </w:p>
        </w:tc>
        <w:tc>
          <w:tcPr>
            <w:tcW w:w="1178"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42,904.11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31"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eastAsia" w:cs="Times New Roman" w:eastAsiaTheme="minorEastAsia"/>
                <w:color w:val="000000"/>
                <w:kern w:val="0"/>
                <w:sz w:val="18"/>
                <w:szCs w:val="18"/>
                <w:lang w:val="en-US" w:eastAsia="zh-CN"/>
              </w:rPr>
              <w:t>11</w:t>
            </w:r>
          </w:p>
        </w:tc>
        <w:tc>
          <w:tcPr>
            <w:tcW w:w="953"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财通证券股份有限公司</w:t>
            </w:r>
          </w:p>
        </w:tc>
        <w:tc>
          <w:tcPr>
            <w:tcW w:w="1815"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财赢通系列中证500指数二元看涨20号收益凭证</w:t>
            </w:r>
          </w:p>
        </w:tc>
        <w:tc>
          <w:tcPr>
            <w:tcW w:w="724"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1</w:t>
            </w:r>
            <w:r>
              <w:rPr>
                <w:rFonts w:hint="default" w:ascii="Times New Roman" w:hAnsi="Times New Roman" w:cs="Times New Roman" w:eastAsiaTheme="minorEastAsia"/>
                <w:color w:val="000000"/>
                <w:kern w:val="0"/>
                <w:sz w:val="18"/>
                <w:szCs w:val="18"/>
              </w:rPr>
              <w:t>,</w:t>
            </w:r>
            <w:r>
              <w:rPr>
                <w:rFonts w:hint="default" w:ascii="Times New Roman" w:hAnsi="Times New Roman" w:cs="Times New Roman" w:eastAsiaTheme="minorEastAsia"/>
                <w:color w:val="000000"/>
                <w:kern w:val="0"/>
                <w:sz w:val="18"/>
                <w:szCs w:val="18"/>
                <w:lang w:val="en-US" w:eastAsia="zh-CN"/>
              </w:rPr>
              <w:t>8</w:t>
            </w:r>
            <w:r>
              <w:rPr>
                <w:rFonts w:hint="default" w:ascii="Times New Roman" w:hAnsi="Times New Roman" w:cs="Times New Roman" w:eastAsiaTheme="minorEastAsia"/>
                <w:color w:val="000000"/>
                <w:kern w:val="0"/>
                <w:sz w:val="18"/>
                <w:szCs w:val="18"/>
              </w:rPr>
              <w:t>00</w:t>
            </w:r>
          </w:p>
        </w:tc>
        <w:tc>
          <w:tcPr>
            <w:tcW w:w="1132"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rPr>
              <w:t>2022-0</w:t>
            </w:r>
            <w:r>
              <w:rPr>
                <w:rFonts w:hint="default" w:ascii="Times New Roman" w:hAnsi="Times New Roman" w:cs="Times New Roman" w:eastAsiaTheme="minorEastAsia"/>
                <w:color w:val="000000"/>
                <w:kern w:val="0"/>
                <w:sz w:val="18"/>
                <w:szCs w:val="18"/>
                <w:lang w:val="en-US" w:eastAsia="zh-CN"/>
              </w:rPr>
              <w:t>6</w:t>
            </w:r>
            <w:r>
              <w:rPr>
                <w:rFonts w:hint="default" w:ascii="Times New Roman" w:hAnsi="Times New Roman" w:cs="Times New Roman" w:eastAsiaTheme="minorEastAsia"/>
                <w:color w:val="000000"/>
                <w:kern w:val="0"/>
                <w:sz w:val="18"/>
                <w:szCs w:val="18"/>
              </w:rPr>
              <w:t>-</w:t>
            </w:r>
            <w:r>
              <w:rPr>
                <w:rFonts w:hint="default" w:ascii="Times New Roman" w:hAnsi="Times New Roman" w:cs="Times New Roman" w:eastAsiaTheme="minorEastAsia"/>
                <w:color w:val="000000"/>
                <w:kern w:val="0"/>
                <w:sz w:val="18"/>
                <w:szCs w:val="18"/>
                <w:lang w:val="en-US" w:eastAsia="zh-CN"/>
              </w:rPr>
              <w:t>02</w:t>
            </w:r>
          </w:p>
        </w:tc>
        <w:tc>
          <w:tcPr>
            <w:tcW w:w="1080"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rPr>
              <w:t>2022-0</w:t>
            </w:r>
            <w:r>
              <w:rPr>
                <w:rFonts w:hint="default" w:ascii="Times New Roman" w:hAnsi="Times New Roman" w:cs="Times New Roman" w:eastAsiaTheme="minorEastAsia"/>
                <w:color w:val="000000"/>
                <w:kern w:val="0"/>
                <w:sz w:val="18"/>
                <w:szCs w:val="18"/>
                <w:lang w:val="en-US" w:eastAsia="zh-CN"/>
              </w:rPr>
              <w:t>6</w:t>
            </w:r>
            <w:r>
              <w:rPr>
                <w:rFonts w:hint="default" w:ascii="Times New Roman" w:hAnsi="Times New Roman" w:cs="Times New Roman" w:eastAsiaTheme="minorEastAsia"/>
                <w:color w:val="000000"/>
                <w:kern w:val="0"/>
                <w:sz w:val="18"/>
                <w:szCs w:val="18"/>
              </w:rPr>
              <w:t>-2</w:t>
            </w:r>
            <w:r>
              <w:rPr>
                <w:rFonts w:hint="default" w:ascii="Times New Roman" w:hAnsi="Times New Roman" w:cs="Times New Roman" w:eastAsiaTheme="minorEastAsia"/>
                <w:color w:val="000000"/>
                <w:kern w:val="0"/>
                <w:sz w:val="18"/>
                <w:szCs w:val="18"/>
                <w:lang w:val="en-US" w:eastAsia="zh-CN"/>
              </w:rPr>
              <w:t>9</w:t>
            </w:r>
          </w:p>
        </w:tc>
        <w:tc>
          <w:tcPr>
            <w:tcW w:w="886"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本金保障型浮动收益凭证</w:t>
            </w:r>
          </w:p>
        </w:tc>
        <w:tc>
          <w:tcPr>
            <w:tcW w:w="985"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一级收益</w:t>
            </w:r>
            <w:r>
              <w:rPr>
                <w:rFonts w:hint="default" w:ascii="Times New Roman" w:hAnsi="Times New Roman" w:cs="Times New Roman" w:eastAsiaTheme="minorEastAsia"/>
                <w:color w:val="000000"/>
                <w:kern w:val="0"/>
                <w:sz w:val="18"/>
                <w:szCs w:val="18"/>
              </w:rPr>
              <w:t>3.</w:t>
            </w:r>
            <w:r>
              <w:rPr>
                <w:rFonts w:hint="default" w:ascii="Times New Roman" w:hAnsi="Times New Roman" w:cs="Times New Roman" w:eastAsiaTheme="minorEastAsia"/>
                <w:color w:val="000000"/>
                <w:kern w:val="0"/>
                <w:sz w:val="18"/>
                <w:szCs w:val="18"/>
                <w:lang w:val="en-US" w:eastAsia="zh-CN"/>
              </w:rPr>
              <w:t>20</w:t>
            </w:r>
            <w:r>
              <w:rPr>
                <w:rFonts w:hint="default" w:ascii="Times New Roman" w:hAnsi="Times New Roman" w:cs="Times New Roman" w:eastAsiaTheme="minorEastAsia"/>
                <w:color w:val="000000"/>
                <w:kern w:val="0"/>
                <w:sz w:val="18"/>
                <w:szCs w:val="18"/>
              </w:rPr>
              <w:t>%</w:t>
            </w:r>
            <w:r>
              <w:rPr>
                <w:rFonts w:hint="default" w:ascii="Times New Roman" w:hAnsi="Times New Roman" w:cs="Times New Roman" w:eastAsiaTheme="minorEastAsia"/>
                <w:color w:val="000000"/>
                <w:kern w:val="0"/>
                <w:sz w:val="18"/>
                <w:szCs w:val="18"/>
                <w:lang w:val="en-US" w:eastAsia="zh-CN"/>
              </w:rPr>
              <w:t>/二级收益2.80%</w:t>
            </w:r>
          </w:p>
        </w:tc>
        <w:tc>
          <w:tcPr>
            <w:tcW w:w="607"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rPr>
              <w:t>募集资金</w:t>
            </w:r>
          </w:p>
        </w:tc>
        <w:tc>
          <w:tcPr>
            <w:tcW w:w="593"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rPr>
              <w:t>是</w:t>
            </w:r>
          </w:p>
        </w:tc>
        <w:tc>
          <w:tcPr>
            <w:tcW w:w="1178"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eastAsia" w:cs="Times New Roman" w:eastAsiaTheme="minorEastAsia"/>
                <w:color w:val="000000"/>
                <w:kern w:val="0"/>
                <w:sz w:val="18"/>
                <w:szCs w:val="18"/>
                <w:lang w:val="en-US" w:eastAsia="zh-CN"/>
              </w:rPr>
              <w:t>44,841.54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31"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eastAsia" w:cs="Times New Roman" w:eastAsiaTheme="minorEastAsia"/>
                <w:color w:val="000000"/>
                <w:kern w:val="0"/>
                <w:sz w:val="18"/>
                <w:szCs w:val="18"/>
                <w:lang w:val="en-US" w:eastAsia="zh-CN"/>
              </w:rPr>
              <w:t>12</w:t>
            </w:r>
          </w:p>
        </w:tc>
        <w:tc>
          <w:tcPr>
            <w:tcW w:w="953"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eastAsia" w:ascii="Times New Roman" w:hAnsi="Times New Roman" w:cs="Times New Roman" w:eastAsiaTheme="minorEastAsia"/>
                <w:color w:val="000000"/>
                <w:kern w:val="0"/>
                <w:sz w:val="18"/>
                <w:szCs w:val="18"/>
                <w:lang w:val="en-US" w:eastAsia="zh-CN"/>
              </w:rPr>
              <w:t>宁波银行股份有限公司</w:t>
            </w:r>
          </w:p>
        </w:tc>
        <w:tc>
          <w:tcPr>
            <w:tcW w:w="1815"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eastAsia" w:ascii="Times New Roman" w:hAnsi="Times New Roman" w:cs="Times New Roman" w:eastAsiaTheme="minorEastAsia"/>
                <w:color w:val="000000"/>
                <w:kern w:val="0"/>
                <w:sz w:val="18"/>
                <w:szCs w:val="18"/>
                <w:lang w:val="en-US" w:eastAsia="zh-CN"/>
              </w:rPr>
              <w:t>2022年单位结构性存款222087</w:t>
            </w:r>
          </w:p>
        </w:tc>
        <w:tc>
          <w:tcPr>
            <w:tcW w:w="724"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eastAsia" w:ascii="Times New Roman" w:hAnsi="Times New Roman" w:cs="Times New Roman" w:eastAsiaTheme="minorEastAsia"/>
                <w:color w:val="000000"/>
                <w:kern w:val="0"/>
                <w:sz w:val="18"/>
                <w:szCs w:val="18"/>
                <w:lang w:val="en-US" w:eastAsia="zh-CN"/>
              </w:rPr>
              <w:t>2,300</w:t>
            </w:r>
          </w:p>
        </w:tc>
        <w:tc>
          <w:tcPr>
            <w:tcW w:w="1132"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2022-0</w:t>
            </w:r>
            <w:r>
              <w:rPr>
                <w:rFonts w:hint="eastAsia" w:ascii="Times New Roman" w:hAnsi="Times New Roman" w:cs="Times New Roman" w:eastAsiaTheme="minorEastAsia"/>
                <w:color w:val="000000"/>
                <w:kern w:val="0"/>
                <w:sz w:val="18"/>
                <w:szCs w:val="18"/>
                <w:lang w:val="en-US" w:eastAsia="zh-CN"/>
              </w:rPr>
              <w:t>9</w:t>
            </w:r>
            <w:r>
              <w:rPr>
                <w:rFonts w:hint="default" w:ascii="Times New Roman" w:hAnsi="Times New Roman" w:cs="Times New Roman" w:eastAsiaTheme="minorEastAsia"/>
                <w:color w:val="000000"/>
                <w:kern w:val="0"/>
                <w:sz w:val="18"/>
                <w:szCs w:val="18"/>
                <w:lang w:val="en-US" w:eastAsia="zh-CN"/>
              </w:rPr>
              <w:t>-</w:t>
            </w:r>
            <w:r>
              <w:rPr>
                <w:rFonts w:hint="eastAsia" w:ascii="Times New Roman" w:hAnsi="Times New Roman" w:cs="Times New Roman" w:eastAsiaTheme="minorEastAsia"/>
                <w:color w:val="000000"/>
                <w:kern w:val="0"/>
                <w:sz w:val="18"/>
                <w:szCs w:val="18"/>
                <w:lang w:val="en-US" w:eastAsia="zh-CN"/>
              </w:rPr>
              <w:t>30</w:t>
            </w:r>
          </w:p>
        </w:tc>
        <w:tc>
          <w:tcPr>
            <w:tcW w:w="1080"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202</w:t>
            </w:r>
            <w:r>
              <w:rPr>
                <w:rFonts w:hint="eastAsia" w:ascii="Times New Roman" w:hAnsi="Times New Roman" w:cs="Times New Roman" w:eastAsiaTheme="minorEastAsia"/>
                <w:color w:val="000000"/>
                <w:kern w:val="0"/>
                <w:sz w:val="18"/>
                <w:szCs w:val="18"/>
                <w:lang w:val="en-US" w:eastAsia="zh-CN"/>
              </w:rPr>
              <w:t>3</w:t>
            </w:r>
            <w:r>
              <w:rPr>
                <w:rFonts w:hint="default" w:ascii="Times New Roman" w:hAnsi="Times New Roman" w:cs="Times New Roman" w:eastAsiaTheme="minorEastAsia"/>
                <w:color w:val="000000"/>
                <w:kern w:val="0"/>
                <w:sz w:val="18"/>
                <w:szCs w:val="18"/>
                <w:lang w:val="en-US" w:eastAsia="zh-CN"/>
              </w:rPr>
              <w:t>-0</w:t>
            </w:r>
            <w:r>
              <w:rPr>
                <w:rFonts w:hint="eastAsia" w:ascii="Times New Roman" w:hAnsi="Times New Roman" w:cs="Times New Roman" w:eastAsiaTheme="minorEastAsia"/>
                <w:color w:val="000000"/>
                <w:kern w:val="0"/>
                <w:sz w:val="18"/>
                <w:szCs w:val="18"/>
                <w:lang w:val="en-US" w:eastAsia="zh-CN"/>
              </w:rPr>
              <w:t>3</w:t>
            </w:r>
            <w:r>
              <w:rPr>
                <w:rFonts w:hint="default" w:ascii="Times New Roman" w:hAnsi="Times New Roman" w:cs="Times New Roman" w:eastAsiaTheme="minorEastAsia"/>
                <w:color w:val="000000"/>
                <w:kern w:val="0"/>
                <w:sz w:val="18"/>
                <w:szCs w:val="18"/>
                <w:lang w:val="en-US" w:eastAsia="zh-CN"/>
              </w:rPr>
              <w:t>-29</w:t>
            </w:r>
          </w:p>
        </w:tc>
        <w:tc>
          <w:tcPr>
            <w:tcW w:w="886"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eastAsia" w:ascii="Times New Roman" w:hAnsi="Times New Roman" w:cs="Times New Roman" w:eastAsiaTheme="minorEastAsia"/>
                <w:color w:val="000000"/>
                <w:kern w:val="0"/>
                <w:sz w:val="18"/>
                <w:szCs w:val="18"/>
                <w:lang w:val="en-US" w:eastAsia="zh-CN"/>
              </w:rPr>
              <w:t>保本浮动型</w:t>
            </w:r>
          </w:p>
        </w:tc>
        <w:tc>
          <w:tcPr>
            <w:tcW w:w="985"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eastAsia" w:ascii="Times New Roman" w:hAnsi="Times New Roman" w:cs="Times New Roman" w:eastAsiaTheme="minorEastAsia"/>
                <w:color w:val="000000"/>
                <w:kern w:val="0"/>
                <w:sz w:val="18"/>
                <w:szCs w:val="18"/>
                <w:lang w:val="en-US" w:eastAsia="zh-CN"/>
              </w:rPr>
              <w:t>1.0</w:t>
            </w:r>
            <w:r>
              <w:rPr>
                <w:rFonts w:hint="default" w:ascii="Times New Roman" w:hAnsi="Times New Roman" w:cs="Times New Roman" w:eastAsiaTheme="minorEastAsia"/>
                <w:color w:val="000000"/>
                <w:kern w:val="0"/>
                <w:sz w:val="18"/>
                <w:szCs w:val="18"/>
                <w:lang w:val="en-US" w:eastAsia="zh-CN"/>
              </w:rPr>
              <w:t>0%</w:t>
            </w:r>
            <w:r>
              <w:rPr>
                <w:rFonts w:hint="eastAsia" w:ascii="Times New Roman" w:hAnsi="Times New Roman" w:cs="Times New Roman" w:eastAsiaTheme="minorEastAsia"/>
                <w:color w:val="000000"/>
                <w:kern w:val="0"/>
                <w:sz w:val="18"/>
                <w:szCs w:val="18"/>
                <w:lang w:val="en-US" w:eastAsia="zh-CN"/>
              </w:rPr>
              <w:t>-3</w:t>
            </w:r>
            <w:r>
              <w:rPr>
                <w:rFonts w:hint="default" w:ascii="Times New Roman" w:hAnsi="Times New Roman" w:cs="Times New Roman" w:eastAsiaTheme="minorEastAsia"/>
                <w:color w:val="000000"/>
                <w:kern w:val="0"/>
                <w:sz w:val="18"/>
                <w:szCs w:val="18"/>
                <w:lang w:val="en-US" w:eastAsia="zh-CN"/>
              </w:rPr>
              <w:t>.</w:t>
            </w:r>
            <w:r>
              <w:rPr>
                <w:rFonts w:hint="eastAsia" w:ascii="Times New Roman" w:hAnsi="Times New Roman" w:cs="Times New Roman" w:eastAsiaTheme="minorEastAsia"/>
                <w:color w:val="000000"/>
                <w:kern w:val="0"/>
                <w:sz w:val="18"/>
                <w:szCs w:val="18"/>
                <w:lang w:val="en-US" w:eastAsia="zh-CN"/>
              </w:rPr>
              <w:t>3</w:t>
            </w:r>
            <w:r>
              <w:rPr>
                <w:rFonts w:hint="default" w:ascii="Times New Roman" w:hAnsi="Times New Roman" w:cs="Times New Roman" w:eastAsiaTheme="minorEastAsia"/>
                <w:color w:val="000000"/>
                <w:kern w:val="0"/>
                <w:sz w:val="18"/>
                <w:szCs w:val="18"/>
                <w:lang w:val="en-US" w:eastAsia="zh-CN"/>
              </w:rPr>
              <w:t>0%</w:t>
            </w:r>
          </w:p>
        </w:tc>
        <w:tc>
          <w:tcPr>
            <w:tcW w:w="607"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募集资金</w:t>
            </w:r>
          </w:p>
        </w:tc>
        <w:tc>
          <w:tcPr>
            <w:tcW w:w="593"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否</w:t>
            </w:r>
          </w:p>
        </w:tc>
        <w:tc>
          <w:tcPr>
            <w:tcW w:w="1178" w:type="dxa"/>
            <w:vAlign w:val="center"/>
          </w:tcPr>
          <w:p>
            <w:pPr>
              <w:widowControl/>
              <w:jc w:val="center"/>
              <w:rPr>
                <w:rFonts w:hint="default" w:ascii="Times New Roman" w:hAnsi="Times New Roman" w:cs="Times New Roman" w:eastAsiaTheme="minorEastAsia"/>
                <w:color w:val="000000"/>
                <w:kern w:val="0"/>
                <w:sz w:val="18"/>
                <w:szCs w:val="18"/>
              </w:rPr>
            </w:pPr>
            <w:r>
              <w:rPr>
                <w:rFonts w:hint="default" w:ascii="Times New Roman" w:hAnsi="Times New Roman" w:cs="Times New Roman" w:eastAsiaTheme="minorEastAsia"/>
                <w:color w:val="000000"/>
                <w:kern w:val="0"/>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23" w:hRule="atLeast"/>
          <w:jc w:val="center"/>
        </w:trPr>
        <w:tc>
          <w:tcPr>
            <w:tcW w:w="431" w:type="dxa"/>
            <w:vAlign w:val="center"/>
          </w:tcPr>
          <w:p>
            <w:pPr>
              <w:widowControl/>
              <w:jc w:val="center"/>
              <w:rPr>
                <w:rFonts w:hint="default" w:cs="Times New Roman" w:eastAsiaTheme="minorEastAsia"/>
                <w:color w:val="000000"/>
                <w:kern w:val="0"/>
                <w:sz w:val="18"/>
                <w:szCs w:val="18"/>
                <w:lang w:val="en-US" w:eastAsia="zh-CN"/>
              </w:rPr>
            </w:pPr>
            <w:r>
              <w:rPr>
                <w:rFonts w:hint="eastAsia" w:cs="Times New Roman" w:eastAsiaTheme="minorEastAsia"/>
                <w:color w:val="000000"/>
                <w:kern w:val="0"/>
                <w:sz w:val="18"/>
                <w:szCs w:val="18"/>
                <w:lang w:val="en-US" w:eastAsia="zh-CN"/>
              </w:rPr>
              <w:t>13</w:t>
            </w:r>
          </w:p>
        </w:tc>
        <w:tc>
          <w:tcPr>
            <w:tcW w:w="953" w:type="dxa"/>
            <w:vAlign w:val="center"/>
          </w:tcPr>
          <w:p>
            <w:pPr>
              <w:widowControl/>
              <w:jc w:val="left"/>
              <w:rPr>
                <w:rFonts w:hint="eastAsia" w:ascii="Times New Roman" w:hAnsi="Times New Roman" w:cs="Times New Roman" w:eastAsiaTheme="minorEastAsia"/>
                <w:color w:val="000000"/>
                <w:kern w:val="0"/>
                <w:sz w:val="18"/>
                <w:szCs w:val="18"/>
                <w:lang w:val="en-US" w:eastAsia="zh-CN"/>
              </w:rPr>
            </w:pPr>
            <w:r>
              <w:rPr>
                <w:rFonts w:hint="eastAsia" w:ascii="Times New Roman" w:hAnsi="Times New Roman" w:cs="Times New Roman" w:eastAsiaTheme="minorEastAsia"/>
                <w:color w:val="000000"/>
                <w:kern w:val="0"/>
                <w:sz w:val="18"/>
                <w:szCs w:val="18"/>
                <w:lang w:val="en-US" w:eastAsia="zh-CN"/>
              </w:rPr>
              <w:t>财通证券资产管理有限公司</w:t>
            </w:r>
          </w:p>
        </w:tc>
        <w:tc>
          <w:tcPr>
            <w:tcW w:w="1815" w:type="dxa"/>
            <w:vAlign w:val="center"/>
          </w:tcPr>
          <w:p>
            <w:pPr>
              <w:widowControl/>
              <w:jc w:val="left"/>
              <w:rPr>
                <w:rFonts w:hint="eastAsia" w:ascii="Times New Roman" w:hAnsi="Times New Roman" w:cs="Times New Roman" w:eastAsiaTheme="minorEastAsia"/>
                <w:color w:val="000000"/>
                <w:kern w:val="0"/>
                <w:sz w:val="18"/>
                <w:szCs w:val="18"/>
                <w:lang w:val="en-US" w:eastAsia="zh-CN"/>
              </w:rPr>
            </w:pPr>
            <w:r>
              <w:rPr>
                <w:rFonts w:hint="eastAsia" w:ascii="Times New Roman" w:hAnsi="Times New Roman" w:cs="Times New Roman" w:eastAsiaTheme="minorEastAsia"/>
                <w:color w:val="000000"/>
                <w:kern w:val="0"/>
                <w:sz w:val="18"/>
                <w:szCs w:val="18"/>
                <w:lang w:val="en-US" w:eastAsia="zh-CN"/>
              </w:rPr>
              <w:t>财通证券资管月月福9号集合资产管理计划</w:t>
            </w:r>
          </w:p>
        </w:tc>
        <w:tc>
          <w:tcPr>
            <w:tcW w:w="724" w:type="dxa"/>
            <w:vAlign w:val="center"/>
          </w:tcPr>
          <w:p>
            <w:pPr>
              <w:widowControl/>
              <w:jc w:val="left"/>
              <w:rPr>
                <w:rFonts w:hint="eastAsia" w:ascii="Times New Roman" w:hAnsi="Times New Roman" w:cs="Times New Roman" w:eastAsiaTheme="minorEastAsia"/>
                <w:color w:val="000000"/>
                <w:kern w:val="0"/>
                <w:sz w:val="18"/>
                <w:szCs w:val="18"/>
                <w:lang w:val="en-US" w:eastAsia="zh-CN"/>
              </w:rPr>
            </w:pPr>
            <w:r>
              <w:rPr>
                <w:rFonts w:hint="eastAsia" w:ascii="Times New Roman" w:hAnsi="Times New Roman" w:cs="Times New Roman" w:eastAsiaTheme="minorEastAsia"/>
                <w:color w:val="000000"/>
                <w:kern w:val="0"/>
                <w:sz w:val="18"/>
                <w:szCs w:val="18"/>
                <w:lang w:val="en-US" w:eastAsia="zh-CN"/>
              </w:rPr>
              <w:t>3,000</w:t>
            </w:r>
          </w:p>
        </w:tc>
        <w:tc>
          <w:tcPr>
            <w:tcW w:w="1132"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2022-</w:t>
            </w:r>
            <w:r>
              <w:rPr>
                <w:rFonts w:hint="eastAsia" w:ascii="Times New Roman" w:hAnsi="Times New Roman" w:cs="Times New Roman" w:eastAsiaTheme="minorEastAsia"/>
                <w:color w:val="000000"/>
                <w:kern w:val="0"/>
                <w:sz w:val="18"/>
                <w:szCs w:val="18"/>
                <w:lang w:val="en-US" w:eastAsia="zh-CN"/>
              </w:rPr>
              <w:t>10</w:t>
            </w:r>
            <w:r>
              <w:rPr>
                <w:rFonts w:hint="default" w:ascii="Times New Roman" w:hAnsi="Times New Roman" w:cs="Times New Roman" w:eastAsiaTheme="minorEastAsia"/>
                <w:color w:val="000000"/>
                <w:kern w:val="0"/>
                <w:sz w:val="18"/>
                <w:szCs w:val="18"/>
                <w:lang w:val="en-US" w:eastAsia="zh-CN"/>
              </w:rPr>
              <w:t>-</w:t>
            </w:r>
            <w:r>
              <w:rPr>
                <w:rFonts w:hint="eastAsia" w:ascii="Times New Roman" w:hAnsi="Times New Roman" w:cs="Times New Roman" w:eastAsiaTheme="minorEastAsia"/>
                <w:color w:val="000000"/>
                <w:kern w:val="0"/>
                <w:sz w:val="18"/>
                <w:szCs w:val="18"/>
                <w:lang w:val="en-US" w:eastAsia="zh-CN"/>
              </w:rPr>
              <w:t>18</w:t>
            </w:r>
          </w:p>
        </w:tc>
        <w:tc>
          <w:tcPr>
            <w:tcW w:w="1080"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202</w:t>
            </w:r>
            <w:r>
              <w:rPr>
                <w:rFonts w:hint="eastAsia" w:ascii="Times New Roman" w:hAnsi="Times New Roman" w:cs="Times New Roman" w:eastAsiaTheme="minorEastAsia"/>
                <w:color w:val="000000"/>
                <w:kern w:val="0"/>
                <w:sz w:val="18"/>
                <w:szCs w:val="18"/>
                <w:lang w:val="en-US" w:eastAsia="zh-CN"/>
              </w:rPr>
              <w:t>3</w:t>
            </w:r>
            <w:r>
              <w:rPr>
                <w:rFonts w:hint="default" w:ascii="Times New Roman" w:hAnsi="Times New Roman" w:cs="Times New Roman" w:eastAsiaTheme="minorEastAsia"/>
                <w:color w:val="000000"/>
                <w:kern w:val="0"/>
                <w:sz w:val="18"/>
                <w:szCs w:val="18"/>
                <w:lang w:val="en-US" w:eastAsia="zh-CN"/>
              </w:rPr>
              <w:t>-</w:t>
            </w:r>
            <w:r>
              <w:rPr>
                <w:rFonts w:hint="eastAsia" w:ascii="Times New Roman" w:hAnsi="Times New Roman" w:cs="Times New Roman" w:eastAsiaTheme="minorEastAsia"/>
                <w:color w:val="000000"/>
                <w:kern w:val="0"/>
                <w:sz w:val="18"/>
                <w:szCs w:val="18"/>
                <w:lang w:val="en-US" w:eastAsia="zh-CN"/>
              </w:rPr>
              <w:t>10</w:t>
            </w:r>
            <w:r>
              <w:rPr>
                <w:rFonts w:hint="default" w:ascii="Times New Roman" w:hAnsi="Times New Roman" w:cs="Times New Roman" w:eastAsiaTheme="minorEastAsia"/>
                <w:color w:val="000000"/>
                <w:kern w:val="0"/>
                <w:sz w:val="18"/>
                <w:szCs w:val="18"/>
                <w:lang w:val="en-US" w:eastAsia="zh-CN"/>
              </w:rPr>
              <w:t>-</w:t>
            </w:r>
            <w:r>
              <w:rPr>
                <w:rFonts w:hint="eastAsia" w:ascii="Times New Roman" w:hAnsi="Times New Roman" w:cs="Times New Roman" w:eastAsiaTheme="minorEastAsia"/>
                <w:color w:val="000000"/>
                <w:kern w:val="0"/>
                <w:sz w:val="18"/>
                <w:szCs w:val="18"/>
                <w:lang w:val="en-US" w:eastAsia="zh-CN"/>
              </w:rPr>
              <w:t>16</w:t>
            </w:r>
          </w:p>
        </w:tc>
        <w:tc>
          <w:tcPr>
            <w:tcW w:w="886" w:type="dxa"/>
            <w:vAlign w:val="center"/>
          </w:tcPr>
          <w:p>
            <w:pPr>
              <w:widowControl/>
              <w:jc w:val="left"/>
              <w:rPr>
                <w:rFonts w:hint="eastAsia" w:ascii="Times New Roman" w:hAnsi="Times New Roman" w:cs="Times New Roman" w:eastAsiaTheme="minorEastAsia"/>
                <w:color w:val="000000"/>
                <w:kern w:val="0"/>
                <w:sz w:val="18"/>
                <w:szCs w:val="18"/>
                <w:lang w:val="en-US" w:eastAsia="zh-CN"/>
              </w:rPr>
            </w:pPr>
            <w:r>
              <w:rPr>
                <w:rFonts w:hint="eastAsia" w:ascii="Times New Roman" w:hAnsi="Times New Roman" w:cs="Times New Roman" w:eastAsiaTheme="minorEastAsia"/>
                <w:color w:val="000000"/>
                <w:kern w:val="0"/>
                <w:sz w:val="18"/>
                <w:szCs w:val="18"/>
                <w:lang w:val="en-US" w:eastAsia="zh-CN"/>
              </w:rPr>
              <w:t>非保本浮动收益型</w:t>
            </w:r>
          </w:p>
        </w:tc>
        <w:tc>
          <w:tcPr>
            <w:tcW w:w="985" w:type="dxa"/>
            <w:vAlign w:val="center"/>
          </w:tcPr>
          <w:p>
            <w:pPr>
              <w:widowControl/>
              <w:jc w:val="left"/>
              <w:rPr>
                <w:rFonts w:hint="eastAsia" w:ascii="Times New Roman" w:hAnsi="Times New Roman" w:cs="Times New Roman" w:eastAsiaTheme="minorEastAsia"/>
                <w:color w:val="000000"/>
                <w:kern w:val="0"/>
                <w:sz w:val="18"/>
                <w:szCs w:val="18"/>
                <w:lang w:val="en-US" w:eastAsia="zh-CN"/>
              </w:rPr>
            </w:pPr>
            <w:r>
              <w:rPr>
                <w:rFonts w:hint="eastAsia" w:ascii="Times New Roman" w:hAnsi="Times New Roman" w:cs="Times New Roman" w:eastAsiaTheme="minorEastAsia"/>
                <w:color w:val="000000"/>
                <w:kern w:val="0"/>
                <w:sz w:val="18"/>
                <w:szCs w:val="18"/>
                <w:lang w:val="en-US" w:eastAsia="zh-CN"/>
              </w:rPr>
              <w:t>4</w:t>
            </w:r>
            <w:r>
              <w:rPr>
                <w:rFonts w:hint="default" w:ascii="Times New Roman" w:hAnsi="Times New Roman" w:cs="Times New Roman" w:eastAsiaTheme="minorEastAsia"/>
                <w:color w:val="000000"/>
                <w:kern w:val="0"/>
                <w:sz w:val="18"/>
                <w:szCs w:val="18"/>
                <w:lang w:val="en-US" w:eastAsia="zh-CN"/>
              </w:rPr>
              <w:t>.</w:t>
            </w:r>
            <w:r>
              <w:rPr>
                <w:rFonts w:hint="eastAsia" w:ascii="Times New Roman" w:hAnsi="Times New Roman" w:cs="Times New Roman" w:eastAsiaTheme="minorEastAsia"/>
                <w:color w:val="000000"/>
                <w:kern w:val="0"/>
                <w:sz w:val="18"/>
                <w:szCs w:val="18"/>
                <w:lang w:val="en-US" w:eastAsia="zh-CN"/>
              </w:rPr>
              <w:t>5</w:t>
            </w:r>
            <w:r>
              <w:rPr>
                <w:rFonts w:hint="default" w:ascii="Times New Roman" w:hAnsi="Times New Roman" w:cs="Times New Roman" w:eastAsiaTheme="minorEastAsia"/>
                <w:color w:val="000000"/>
                <w:kern w:val="0"/>
                <w:sz w:val="18"/>
                <w:szCs w:val="18"/>
                <w:lang w:val="en-US" w:eastAsia="zh-CN"/>
              </w:rPr>
              <w:t>0%</w:t>
            </w:r>
            <w:r>
              <w:rPr>
                <w:rFonts w:hint="eastAsia" w:cs="Times New Roman"/>
                <w:color w:val="000000"/>
                <w:kern w:val="0"/>
                <w:szCs w:val="21"/>
                <w:lang w:val="en-US" w:eastAsia="zh-CN"/>
              </w:rPr>
              <w:t>+</w:t>
            </w:r>
          </w:p>
        </w:tc>
        <w:tc>
          <w:tcPr>
            <w:tcW w:w="607" w:type="dxa"/>
            <w:vAlign w:val="center"/>
          </w:tcPr>
          <w:p>
            <w:pPr>
              <w:widowControl/>
              <w:jc w:val="left"/>
              <w:rPr>
                <w:rFonts w:hint="default" w:ascii="Times New Roman" w:hAnsi="Times New Roman" w:cs="Times New Roman" w:eastAsiaTheme="minorEastAsia"/>
                <w:color w:val="000000"/>
                <w:kern w:val="0"/>
                <w:sz w:val="18"/>
                <w:szCs w:val="18"/>
                <w:lang w:val="en-US" w:eastAsia="zh-CN"/>
              </w:rPr>
            </w:pPr>
            <w:r>
              <w:rPr>
                <w:rFonts w:hint="eastAsia" w:ascii="Times New Roman" w:hAnsi="Times New Roman" w:cs="Times New Roman" w:eastAsiaTheme="minorEastAsia"/>
                <w:color w:val="000000"/>
                <w:kern w:val="0"/>
                <w:sz w:val="18"/>
                <w:szCs w:val="18"/>
                <w:lang w:val="en-US" w:eastAsia="zh-CN"/>
              </w:rPr>
              <w:t>自有</w:t>
            </w:r>
            <w:r>
              <w:rPr>
                <w:rFonts w:hint="default" w:ascii="Times New Roman" w:hAnsi="Times New Roman" w:cs="Times New Roman" w:eastAsiaTheme="minorEastAsia"/>
                <w:color w:val="000000"/>
                <w:kern w:val="0"/>
                <w:sz w:val="18"/>
                <w:szCs w:val="18"/>
                <w:lang w:val="en-US" w:eastAsia="zh-CN"/>
              </w:rPr>
              <w:t>资金</w:t>
            </w:r>
          </w:p>
        </w:tc>
        <w:tc>
          <w:tcPr>
            <w:tcW w:w="593"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r>
              <w:rPr>
                <w:rFonts w:hint="default" w:ascii="Times New Roman" w:hAnsi="Times New Roman" w:cs="Times New Roman" w:eastAsiaTheme="minorEastAsia"/>
                <w:color w:val="000000"/>
                <w:kern w:val="0"/>
                <w:sz w:val="18"/>
                <w:szCs w:val="18"/>
                <w:lang w:val="en-US" w:eastAsia="zh-CN"/>
              </w:rPr>
              <w:t>否</w:t>
            </w:r>
          </w:p>
        </w:tc>
        <w:tc>
          <w:tcPr>
            <w:tcW w:w="1178" w:type="dxa"/>
            <w:vAlign w:val="center"/>
          </w:tcPr>
          <w:p>
            <w:pPr>
              <w:widowControl/>
              <w:jc w:val="center"/>
              <w:rPr>
                <w:rFonts w:hint="default" w:ascii="Times New Roman" w:hAnsi="Times New Roman" w:cs="Times New Roman" w:eastAsiaTheme="minorEastAsia"/>
                <w:color w:val="000000"/>
                <w:kern w:val="0"/>
                <w:sz w:val="18"/>
                <w:szCs w:val="18"/>
                <w:lang w:val="en-US" w:eastAsia="zh-CN"/>
              </w:rPr>
            </w:pPr>
            <w:bookmarkStart w:id="7" w:name="_GoBack"/>
            <w:r>
              <w:rPr>
                <w:rFonts w:hint="default" w:ascii="Times New Roman" w:hAnsi="Times New Roman" w:cs="Times New Roman" w:eastAsiaTheme="minorEastAsia"/>
                <w:color w:val="000000"/>
                <w:kern w:val="0"/>
                <w:sz w:val="18"/>
                <w:szCs w:val="18"/>
                <w:lang w:val="en-US" w:eastAsia="zh-CN"/>
              </w:rPr>
              <w:t>/</w:t>
            </w:r>
            <w:bookmarkEnd w:id="7"/>
          </w:p>
        </w:tc>
      </w:tr>
    </w:tbl>
    <w:p>
      <w:pPr>
        <w:widowControl/>
        <w:shd w:val="clear" w:color="auto" w:fill="FFFFFF"/>
        <w:spacing w:line="360" w:lineRule="auto"/>
        <w:ind w:firstLine="480" w:firstLineChars="200"/>
        <w:jc w:val="left"/>
        <w:rPr>
          <w:rFonts w:hint="default" w:ascii="Times New Roman" w:hAnsi="Times New Roman" w:cs="Times New Roman" w:eastAsiaTheme="minorEastAsia"/>
          <w:kern w:val="0"/>
          <w:sz w:val="24"/>
          <w:szCs w:val="24"/>
        </w:rPr>
      </w:pPr>
      <w:r>
        <w:rPr>
          <w:rFonts w:hint="default" w:ascii="Times New Roman" w:hAnsi="Times New Roman" w:cs="Times New Roman" w:eastAsiaTheme="minorEastAsia"/>
          <w:kern w:val="0"/>
          <w:sz w:val="24"/>
          <w:szCs w:val="24"/>
        </w:rPr>
        <w:t>截至本公告日，公司使用募集资金进行现金管理未到期金额共计</w:t>
      </w:r>
      <w:r>
        <w:rPr>
          <w:rFonts w:hint="eastAsia" w:cs="Times New Roman" w:eastAsiaTheme="minorEastAsia"/>
          <w:kern w:val="0"/>
          <w:sz w:val="24"/>
          <w:szCs w:val="24"/>
          <w:lang w:val="en-US" w:eastAsia="zh-CN"/>
        </w:rPr>
        <w:t>2</w:t>
      </w:r>
      <w:r>
        <w:rPr>
          <w:rFonts w:hint="default" w:ascii="Times New Roman" w:hAnsi="Times New Roman" w:cs="Times New Roman" w:eastAsiaTheme="minorEastAsia"/>
          <w:kern w:val="0"/>
          <w:sz w:val="24"/>
          <w:szCs w:val="24"/>
        </w:rPr>
        <w:t>,</w:t>
      </w:r>
      <w:r>
        <w:rPr>
          <w:rFonts w:hint="eastAsia" w:cs="Times New Roman" w:eastAsiaTheme="minorEastAsia"/>
          <w:kern w:val="0"/>
          <w:sz w:val="24"/>
          <w:szCs w:val="24"/>
          <w:lang w:val="en-US" w:eastAsia="zh-CN"/>
        </w:rPr>
        <w:t>3</w:t>
      </w:r>
      <w:r>
        <w:rPr>
          <w:rFonts w:hint="default" w:ascii="Times New Roman" w:hAnsi="Times New Roman" w:cs="Times New Roman" w:eastAsiaTheme="minorEastAsia"/>
          <w:kern w:val="0"/>
          <w:sz w:val="24"/>
          <w:szCs w:val="24"/>
        </w:rPr>
        <w:t>00万元</w:t>
      </w:r>
      <w:r>
        <w:rPr>
          <w:rFonts w:hint="eastAsia" w:cs="Times New Roman" w:eastAsiaTheme="minorEastAsia"/>
          <w:kern w:val="0"/>
          <w:sz w:val="24"/>
          <w:szCs w:val="24"/>
          <w:lang w:eastAsia="zh-CN"/>
        </w:rPr>
        <w:t>，</w:t>
      </w:r>
      <w:r>
        <w:rPr>
          <w:rFonts w:hint="default" w:ascii="Times New Roman" w:hAnsi="Times New Roman" w:cs="Times New Roman" w:eastAsiaTheme="minorEastAsia"/>
          <w:kern w:val="0"/>
          <w:sz w:val="24"/>
          <w:szCs w:val="24"/>
        </w:rPr>
        <w:t>使用自有资金进行现金管理未到期金额共计</w:t>
      </w:r>
      <w:r>
        <w:rPr>
          <w:rFonts w:hint="eastAsia" w:cs="Times New Roman" w:eastAsiaTheme="minorEastAsia"/>
          <w:kern w:val="0"/>
          <w:sz w:val="24"/>
          <w:szCs w:val="24"/>
          <w:lang w:val="en-US" w:eastAsia="zh-CN"/>
        </w:rPr>
        <w:t>3</w:t>
      </w:r>
      <w:r>
        <w:rPr>
          <w:rFonts w:hint="default" w:ascii="Times New Roman" w:hAnsi="Times New Roman" w:cs="Times New Roman" w:eastAsiaTheme="minorEastAsia"/>
          <w:kern w:val="0"/>
          <w:sz w:val="24"/>
          <w:szCs w:val="24"/>
        </w:rPr>
        <w:t>,</w:t>
      </w:r>
      <w:r>
        <w:rPr>
          <w:rFonts w:hint="eastAsia" w:cs="Times New Roman" w:eastAsiaTheme="minorEastAsia"/>
          <w:kern w:val="0"/>
          <w:sz w:val="24"/>
          <w:szCs w:val="24"/>
          <w:lang w:val="en-US" w:eastAsia="zh-CN"/>
        </w:rPr>
        <w:t>0</w:t>
      </w:r>
      <w:r>
        <w:rPr>
          <w:rFonts w:hint="default" w:ascii="Times New Roman" w:hAnsi="Times New Roman" w:cs="Times New Roman" w:eastAsiaTheme="minorEastAsia"/>
          <w:kern w:val="0"/>
          <w:sz w:val="24"/>
          <w:szCs w:val="24"/>
        </w:rPr>
        <w:t>00万元</w:t>
      </w:r>
      <w:r>
        <w:rPr>
          <w:rFonts w:hint="eastAsia" w:cs="Times New Roman" w:eastAsiaTheme="minorEastAsia"/>
          <w:kern w:val="0"/>
          <w:sz w:val="24"/>
          <w:szCs w:val="24"/>
          <w:lang w:eastAsia="zh-CN"/>
        </w:rPr>
        <w:t>（</w:t>
      </w:r>
      <w:r>
        <w:rPr>
          <w:rFonts w:hint="eastAsia" w:cs="Times New Roman" w:eastAsiaTheme="minorEastAsia"/>
          <w:kern w:val="0"/>
          <w:sz w:val="24"/>
          <w:szCs w:val="24"/>
          <w:lang w:val="en-US" w:eastAsia="zh-CN"/>
        </w:rPr>
        <w:t>含本次新增</w:t>
      </w:r>
      <w:r>
        <w:rPr>
          <w:rFonts w:hint="eastAsia" w:cs="Times New Roman" w:eastAsiaTheme="minorEastAsia"/>
          <w:kern w:val="0"/>
          <w:sz w:val="24"/>
          <w:szCs w:val="24"/>
          <w:lang w:eastAsia="zh-CN"/>
        </w:rPr>
        <w:t>）</w:t>
      </w:r>
      <w:r>
        <w:rPr>
          <w:rFonts w:hint="default" w:ascii="Times New Roman" w:hAnsi="Times New Roman" w:cs="Times New Roman" w:eastAsiaTheme="minorEastAsia"/>
          <w:kern w:val="0"/>
          <w:sz w:val="24"/>
          <w:szCs w:val="24"/>
        </w:rPr>
        <w:t>，未超过公司股东大会审议通过的进行现金管理的金额范围和投资期限。</w:t>
      </w:r>
    </w:p>
    <w:p>
      <w:pPr>
        <w:widowControl/>
        <w:shd w:val="clear" w:color="auto" w:fill="FFFFFF"/>
        <w:spacing w:before="62" w:beforeLines="20" w:after="62" w:afterLines="20" w:line="360" w:lineRule="auto"/>
        <w:ind w:firstLine="482" w:firstLineChars="200"/>
        <w:jc w:val="left"/>
        <w:rPr>
          <w:rFonts w:hint="default" w:ascii="Times New Roman" w:hAnsi="Times New Roman" w:cs="Times New Roman" w:eastAsiaTheme="minorEastAsia"/>
          <w:b/>
          <w:bCs/>
          <w:color w:val="000000"/>
          <w:kern w:val="0"/>
          <w:sz w:val="24"/>
          <w:szCs w:val="24"/>
        </w:rPr>
      </w:pPr>
      <w:r>
        <w:rPr>
          <w:rFonts w:hint="default" w:ascii="Times New Roman" w:hAnsi="Times New Roman" w:cs="Times New Roman" w:eastAsiaTheme="minorEastAsia"/>
          <w:b/>
          <w:bCs/>
          <w:color w:val="000000"/>
          <w:kern w:val="0"/>
          <w:sz w:val="24"/>
          <w:szCs w:val="24"/>
        </w:rPr>
        <w:t>七、备查文件</w:t>
      </w:r>
    </w:p>
    <w:p>
      <w:pPr>
        <w:widowControl/>
        <w:shd w:val="clear" w:color="auto" w:fill="FFFFFF"/>
        <w:spacing w:line="360" w:lineRule="auto"/>
        <w:ind w:firstLine="480" w:firstLineChars="200"/>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1、本次购买理财产品的相关认购材料。</w:t>
      </w:r>
    </w:p>
    <w:p>
      <w:pPr>
        <w:widowControl/>
        <w:shd w:val="clear" w:color="auto" w:fill="FFFFFF"/>
        <w:spacing w:line="360" w:lineRule="auto"/>
        <w:ind w:firstLine="480" w:firstLineChars="200"/>
        <w:jc w:val="left"/>
        <w:rPr>
          <w:rFonts w:hint="default" w:ascii="Times New Roman" w:hAnsi="Times New Roman" w:cs="Times New Roman" w:eastAsiaTheme="minorEastAsia"/>
          <w:color w:val="000000"/>
          <w:kern w:val="0"/>
          <w:sz w:val="24"/>
          <w:szCs w:val="24"/>
        </w:rPr>
      </w:pPr>
      <w:r>
        <w:rPr>
          <w:rFonts w:hint="default" w:ascii="Times New Roman" w:hAnsi="Times New Roman" w:cs="Times New Roman" w:eastAsiaTheme="minorEastAsia"/>
          <w:color w:val="000000"/>
          <w:kern w:val="0"/>
          <w:sz w:val="24"/>
          <w:szCs w:val="24"/>
        </w:rPr>
        <w:t>特此公告。</w:t>
      </w:r>
    </w:p>
    <w:p>
      <w:pPr>
        <w:widowControl/>
        <w:shd w:val="clear" w:color="auto" w:fill="FFFFFF"/>
        <w:spacing w:line="360" w:lineRule="auto"/>
        <w:jc w:val="left"/>
        <w:rPr>
          <w:rFonts w:hint="default" w:ascii="Times New Roman" w:hAnsi="Times New Roman" w:cs="Times New Roman" w:eastAsiaTheme="minorEastAsia"/>
          <w:color w:val="000000"/>
          <w:kern w:val="0"/>
          <w:sz w:val="24"/>
          <w:szCs w:val="24"/>
        </w:rPr>
      </w:pPr>
    </w:p>
    <w:p>
      <w:pPr>
        <w:widowControl/>
        <w:shd w:val="clear" w:color="auto" w:fill="FFFFFF"/>
        <w:spacing w:line="360" w:lineRule="auto"/>
        <w:ind w:firstLine="480" w:firstLineChars="200"/>
        <w:jc w:val="left"/>
        <w:rPr>
          <w:rFonts w:hint="default" w:ascii="Times New Roman" w:hAnsi="Times New Roman" w:cs="Times New Roman" w:eastAsiaTheme="minorEastAsia"/>
          <w:color w:val="000000"/>
          <w:kern w:val="0"/>
          <w:sz w:val="24"/>
          <w:szCs w:val="24"/>
        </w:rPr>
      </w:pPr>
    </w:p>
    <w:p>
      <w:pPr>
        <w:keepNext w:val="0"/>
        <w:keepLines w:val="0"/>
        <w:pageBreakBefore w:val="0"/>
        <w:widowControl w:val="0"/>
        <w:kinsoku/>
        <w:wordWrap/>
        <w:overflowPunct/>
        <w:topLinePunct w:val="0"/>
        <w:autoSpaceDE/>
        <w:autoSpaceDN/>
        <w:bidi w:val="0"/>
        <w:adjustRightInd/>
        <w:snapToGrid/>
        <w:spacing w:line="360" w:lineRule="auto"/>
        <w:ind w:firstLine="454"/>
        <w:jc w:val="right"/>
        <w:textAlignment w:val="auto"/>
        <w:rPr>
          <w:rFonts w:hint="default" w:ascii="Times New Roman" w:hAnsi="Times New Roman" w:cs="Times New Roman"/>
          <w:bCs/>
          <w:sz w:val="24"/>
          <w:szCs w:val="24"/>
        </w:rPr>
      </w:pPr>
      <w:bookmarkStart w:id="5" w:name="OLE_LINK112"/>
      <w:bookmarkStart w:id="6" w:name="OLE_LINK113"/>
      <w:r>
        <w:rPr>
          <w:rFonts w:hint="default" w:ascii="Times New Roman" w:hAnsi="Times New Roman" w:cs="Times New Roman"/>
          <w:bCs/>
          <w:color w:val="000000"/>
          <w:sz w:val="24"/>
          <w:szCs w:val="24"/>
        </w:rPr>
        <w:t>浙江春晖智能控制股份有限公司</w:t>
      </w:r>
      <w:r>
        <w:rPr>
          <w:rFonts w:hint="default" w:ascii="Times New Roman" w:hAnsi="Times New Roman" w:cs="Times New Roman"/>
          <w:bCs/>
          <w:sz w:val="24"/>
          <w:szCs w:val="24"/>
        </w:rPr>
        <w:t>董事会</w:t>
      </w:r>
      <w:bookmarkEnd w:id="5"/>
      <w:bookmarkEnd w:id="6"/>
    </w:p>
    <w:p>
      <w:pPr>
        <w:keepNext w:val="0"/>
        <w:keepLines w:val="0"/>
        <w:pageBreakBefore w:val="0"/>
        <w:widowControl w:val="0"/>
        <w:kinsoku/>
        <w:wordWrap/>
        <w:overflowPunct/>
        <w:topLinePunct w:val="0"/>
        <w:autoSpaceDE/>
        <w:autoSpaceDN/>
        <w:bidi w:val="0"/>
        <w:adjustRightInd/>
        <w:snapToGrid/>
        <w:spacing w:line="360" w:lineRule="auto"/>
        <w:ind w:firstLine="454"/>
        <w:jc w:val="center"/>
        <w:textAlignment w:val="auto"/>
        <w:rPr>
          <w:rFonts w:hint="default" w:ascii="Times New Roman" w:hAnsi="Times New Roman" w:cs="Times New Roman"/>
          <w:bCs/>
        </w:rPr>
      </w:pPr>
      <w:r>
        <w:rPr>
          <w:rFonts w:hint="default" w:ascii="Times New Roman" w:hAnsi="Times New Roman" w:cs="Times New Roman"/>
          <w:bCs/>
          <w:lang w:val="en-US" w:eastAsia="zh-CN"/>
        </w:rPr>
        <w:t xml:space="preserve">                                             </w:t>
      </w:r>
      <w:r>
        <w:rPr>
          <w:rFonts w:hint="default" w:ascii="Times New Roman" w:hAnsi="Times New Roman" w:cs="Times New Roman"/>
          <w:bCs/>
          <w:sz w:val="24"/>
          <w:szCs w:val="24"/>
          <w:lang w:val="en-US" w:eastAsia="zh-CN"/>
        </w:rPr>
        <w:t xml:space="preserve">  </w:t>
      </w:r>
      <w:r>
        <w:rPr>
          <w:rFonts w:hint="default" w:ascii="Times New Roman" w:hAnsi="Times New Roman" w:cs="Times New Roman"/>
          <w:bCs/>
          <w:sz w:val="24"/>
          <w:szCs w:val="24"/>
        </w:rPr>
        <w:t>2022年</w:t>
      </w:r>
      <w:r>
        <w:rPr>
          <w:rFonts w:hint="eastAsia" w:cs="Times New Roman"/>
          <w:bCs/>
          <w:sz w:val="24"/>
          <w:szCs w:val="24"/>
          <w:lang w:val="en-US" w:eastAsia="zh-CN"/>
        </w:rPr>
        <w:t>10</w:t>
      </w:r>
      <w:r>
        <w:rPr>
          <w:rFonts w:hint="default" w:ascii="Times New Roman" w:hAnsi="Times New Roman" w:cs="Times New Roman"/>
          <w:bCs/>
          <w:sz w:val="24"/>
          <w:szCs w:val="24"/>
        </w:rPr>
        <w:t>月</w:t>
      </w:r>
      <w:r>
        <w:rPr>
          <w:rFonts w:hint="eastAsia" w:cs="Times New Roman"/>
          <w:bCs/>
          <w:sz w:val="24"/>
          <w:szCs w:val="24"/>
          <w:lang w:val="en-US" w:eastAsia="zh-CN"/>
        </w:rPr>
        <w:t>18</w:t>
      </w:r>
      <w:r>
        <w:rPr>
          <w:rFonts w:hint="default" w:ascii="Times New Roman" w:hAnsi="Times New Roman" w:cs="Times New Roman"/>
          <w:bCs/>
          <w:sz w:val="24"/>
          <w:szCs w:val="24"/>
        </w:rPr>
        <w:t>日</w:t>
      </w:r>
    </w:p>
    <w:sectPr>
      <w:pgSz w:w="11906" w:h="16838"/>
      <w:pgMar w:top="1383" w:right="1417" w:bottom="1383" w:left="1349"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c2ZGZiNzZiNDVlOGViOWVmM2JhOTY0NGJkNjUyYzgifQ=="/>
  </w:docVars>
  <w:rsids>
    <w:rsidRoot w:val="00172A27"/>
    <w:rsid w:val="00000645"/>
    <w:rsid w:val="000051A4"/>
    <w:rsid w:val="00005471"/>
    <w:rsid w:val="0001715A"/>
    <w:rsid w:val="000231FD"/>
    <w:rsid w:val="00031F6B"/>
    <w:rsid w:val="000622B2"/>
    <w:rsid w:val="00062868"/>
    <w:rsid w:val="00070492"/>
    <w:rsid w:val="000904B9"/>
    <w:rsid w:val="0009393B"/>
    <w:rsid w:val="00093DD3"/>
    <w:rsid w:val="000B288D"/>
    <w:rsid w:val="000B6F77"/>
    <w:rsid w:val="000B75E7"/>
    <w:rsid w:val="000C1826"/>
    <w:rsid w:val="000C1D18"/>
    <w:rsid w:val="000C5435"/>
    <w:rsid w:val="000D64AC"/>
    <w:rsid w:val="000E11D0"/>
    <w:rsid w:val="000E30E2"/>
    <w:rsid w:val="000F320B"/>
    <w:rsid w:val="000F52D6"/>
    <w:rsid w:val="000F6C94"/>
    <w:rsid w:val="00110E7E"/>
    <w:rsid w:val="00114D8C"/>
    <w:rsid w:val="001157BD"/>
    <w:rsid w:val="00116F9D"/>
    <w:rsid w:val="00127692"/>
    <w:rsid w:val="00134477"/>
    <w:rsid w:val="0013631F"/>
    <w:rsid w:val="00140127"/>
    <w:rsid w:val="0014143B"/>
    <w:rsid w:val="001462F8"/>
    <w:rsid w:val="00154D08"/>
    <w:rsid w:val="00171731"/>
    <w:rsid w:val="00172A27"/>
    <w:rsid w:val="00176054"/>
    <w:rsid w:val="001810A6"/>
    <w:rsid w:val="001849A7"/>
    <w:rsid w:val="001A5643"/>
    <w:rsid w:val="001A5801"/>
    <w:rsid w:val="001B0240"/>
    <w:rsid w:val="001B484C"/>
    <w:rsid w:val="001D3258"/>
    <w:rsid w:val="001E01FA"/>
    <w:rsid w:val="00201CD9"/>
    <w:rsid w:val="00202023"/>
    <w:rsid w:val="00202632"/>
    <w:rsid w:val="00215F93"/>
    <w:rsid w:val="00220CE1"/>
    <w:rsid w:val="00223541"/>
    <w:rsid w:val="002269ED"/>
    <w:rsid w:val="00227A9D"/>
    <w:rsid w:val="00231BE1"/>
    <w:rsid w:val="00247A92"/>
    <w:rsid w:val="002635DF"/>
    <w:rsid w:val="002709F3"/>
    <w:rsid w:val="00275395"/>
    <w:rsid w:val="00286459"/>
    <w:rsid w:val="00290BF3"/>
    <w:rsid w:val="00294A2F"/>
    <w:rsid w:val="002B2237"/>
    <w:rsid w:val="002B2F3B"/>
    <w:rsid w:val="002B3CD1"/>
    <w:rsid w:val="002B7854"/>
    <w:rsid w:val="002C3DD3"/>
    <w:rsid w:val="002E4BEE"/>
    <w:rsid w:val="002E503D"/>
    <w:rsid w:val="002E7E40"/>
    <w:rsid w:val="002F2A43"/>
    <w:rsid w:val="002F41F6"/>
    <w:rsid w:val="002F655C"/>
    <w:rsid w:val="002F6EBD"/>
    <w:rsid w:val="00301E23"/>
    <w:rsid w:val="00303BD4"/>
    <w:rsid w:val="00306988"/>
    <w:rsid w:val="00311F90"/>
    <w:rsid w:val="00314FD8"/>
    <w:rsid w:val="0032453D"/>
    <w:rsid w:val="003556F7"/>
    <w:rsid w:val="00355B8E"/>
    <w:rsid w:val="00376749"/>
    <w:rsid w:val="00392D71"/>
    <w:rsid w:val="003A3F6C"/>
    <w:rsid w:val="003B1A59"/>
    <w:rsid w:val="003B6AE5"/>
    <w:rsid w:val="003D0219"/>
    <w:rsid w:val="003D5C04"/>
    <w:rsid w:val="003D7541"/>
    <w:rsid w:val="0040217A"/>
    <w:rsid w:val="00410F0B"/>
    <w:rsid w:val="004207B4"/>
    <w:rsid w:val="004214D6"/>
    <w:rsid w:val="00453BC5"/>
    <w:rsid w:val="0045758C"/>
    <w:rsid w:val="0046178A"/>
    <w:rsid w:val="00467C26"/>
    <w:rsid w:val="00473479"/>
    <w:rsid w:val="00473849"/>
    <w:rsid w:val="00480E64"/>
    <w:rsid w:val="004B0E4A"/>
    <w:rsid w:val="004B3155"/>
    <w:rsid w:val="004B58DB"/>
    <w:rsid w:val="004B5DA3"/>
    <w:rsid w:val="004B6D4A"/>
    <w:rsid w:val="004C3197"/>
    <w:rsid w:val="004C3CF8"/>
    <w:rsid w:val="004C6C33"/>
    <w:rsid w:val="004D541F"/>
    <w:rsid w:val="004E0541"/>
    <w:rsid w:val="004E3A48"/>
    <w:rsid w:val="004E486E"/>
    <w:rsid w:val="004E635E"/>
    <w:rsid w:val="00501885"/>
    <w:rsid w:val="005058A6"/>
    <w:rsid w:val="00506137"/>
    <w:rsid w:val="0050648E"/>
    <w:rsid w:val="0051035F"/>
    <w:rsid w:val="00516576"/>
    <w:rsid w:val="005326C6"/>
    <w:rsid w:val="00545418"/>
    <w:rsid w:val="0055067C"/>
    <w:rsid w:val="00554850"/>
    <w:rsid w:val="00573580"/>
    <w:rsid w:val="005823B7"/>
    <w:rsid w:val="00595DDC"/>
    <w:rsid w:val="005C1FA0"/>
    <w:rsid w:val="005D541D"/>
    <w:rsid w:val="005E375E"/>
    <w:rsid w:val="005E45D8"/>
    <w:rsid w:val="005F3C54"/>
    <w:rsid w:val="00602B26"/>
    <w:rsid w:val="006070FC"/>
    <w:rsid w:val="0061339E"/>
    <w:rsid w:val="0062202F"/>
    <w:rsid w:val="00624052"/>
    <w:rsid w:val="00630FE7"/>
    <w:rsid w:val="0064037F"/>
    <w:rsid w:val="006440CB"/>
    <w:rsid w:val="006618C8"/>
    <w:rsid w:val="00663582"/>
    <w:rsid w:val="00676B18"/>
    <w:rsid w:val="006839E8"/>
    <w:rsid w:val="006951EF"/>
    <w:rsid w:val="006B65FA"/>
    <w:rsid w:val="006B7E07"/>
    <w:rsid w:val="006C016A"/>
    <w:rsid w:val="006C2746"/>
    <w:rsid w:val="006C7643"/>
    <w:rsid w:val="006D6562"/>
    <w:rsid w:val="006E672E"/>
    <w:rsid w:val="006E680C"/>
    <w:rsid w:val="006F7A2D"/>
    <w:rsid w:val="00704581"/>
    <w:rsid w:val="007069D6"/>
    <w:rsid w:val="00715AEB"/>
    <w:rsid w:val="00715C69"/>
    <w:rsid w:val="0072262F"/>
    <w:rsid w:val="00744662"/>
    <w:rsid w:val="00752E52"/>
    <w:rsid w:val="00781FFA"/>
    <w:rsid w:val="007A2DE5"/>
    <w:rsid w:val="007B0CDA"/>
    <w:rsid w:val="007B1E98"/>
    <w:rsid w:val="007B3D35"/>
    <w:rsid w:val="007B58C2"/>
    <w:rsid w:val="007B7032"/>
    <w:rsid w:val="007D164F"/>
    <w:rsid w:val="007E3859"/>
    <w:rsid w:val="007F1311"/>
    <w:rsid w:val="00814942"/>
    <w:rsid w:val="008328B5"/>
    <w:rsid w:val="008450A2"/>
    <w:rsid w:val="00852DAA"/>
    <w:rsid w:val="00852E13"/>
    <w:rsid w:val="008537C6"/>
    <w:rsid w:val="00871AC8"/>
    <w:rsid w:val="00873139"/>
    <w:rsid w:val="00876880"/>
    <w:rsid w:val="00883910"/>
    <w:rsid w:val="008A2D48"/>
    <w:rsid w:val="008A52F3"/>
    <w:rsid w:val="008B3613"/>
    <w:rsid w:val="008B6CAC"/>
    <w:rsid w:val="008C7941"/>
    <w:rsid w:val="008D06AA"/>
    <w:rsid w:val="008D4E6C"/>
    <w:rsid w:val="008D6472"/>
    <w:rsid w:val="0090268D"/>
    <w:rsid w:val="00934253"/>
    <w:rsid w:val="00946ECB"/>
    <w:rsid w:val="00956856"/>
    <w:rsid w:val="00961778"/>
    <w:rsid w:val="00964D77"/>
    <w:rsid w:val="00997AA3"/>
    <w:rsid w:val="009B49CA"/>
    <w:rsid w:val="009D7B5B"/>
    <w:rsid w:val="009E29B1"/>
    <w:rsid w:val="009E4553"/>
    <w:rsid w:val="009E60C9"/>
    <w:rsid w:val="009E62ED"/>
    <w:rsid w:val="009E7653"/>
    <w:rsid w:val="009F1FFA"/>
    <w:rsid w:val="00A15BD4"/>
    <w:rsid w:val="00A238A4"/>
    <w:rsid w:val="00A31CFD"/>
    <w:rsid w:val="00A408CD"/>
    <w:rsid w:val="00A42EE2"/>
    <w:rsid w:val="00A559CB"/>
    <w:rsid w:val="00A60901"/>
    <w:rsid w:val="00A73CEF"/>
    <w:rsid w:val="00A821A1"/>
    <w:rsid w:val="00A839DE"/>
    <w:rsid w:val="00A83DF3"/>
    <w:rsid w:val="00AA3A39"/>
    <w:rsid w:val="00AA3C7E"/>
    <w:rsid w:val="00AB6031"/>
    <w:rsid w:val="00AC0982"/>
    <w:rsid w:val="00AD4D69"/>
    <w:rsid w:val="00AD519F"/>
    <w:rsid w:val="00AD6A41"/>
    <w:rsid w:val="00AD7475"/>
    <w:rsid w:val="00AD7CE2"/>
    <w:rsid w:val="00AE27E5"/>
    <w:rsid w:val="00AF1158"/>
    <w:rsid w:val="00AF6366"/>
    <w:rsid w:val="00B11834"/>
    <w:rsid w:val="00B165DC"/>
    <w:rsid w:val="00B24D42"/>
    <w:rsid w:val="00B27551"/>
    <w:rsid w:val="00B334BE"/>
    <w:rsid w:val="00B51739"/>
    <w:rsid w:val="00B54E6F"/>
    <w:rsid w:val="00B60CCB"/>
    <w:rsid w:val="00B64ECA"/>
    <w:rsid w:val="00B65472"/>
    <w:rsid w:val="00B66F79"/>
    <w:rsid w:val="00B672E4"/>
    <w:rsid w:val="00B75BC7"/>
    <w:rsid w:val="00B80A80"/>
    <w:rsid w:val="00B93C42"/>
    <w:rsid w:val="00B97866"/>
    <w:rsid w:val="00BB130E"/>
    <w:rsid w:val="00BD1BDB"/>
    <w:rsid w:val="00BD4983"/>
    <w:rsid w:val="00BF2144"/>
    <w:rsid w:val="00C10BA3"/>
    <w:rsid w:val="00C22EB2"/>
    <w:rsid w:val="00C258F8"/>
    <w:rsid w:val="00C37E07"/>
    <w:rsid w:val="00C4389C"/>
    <w:rsid w:val="00C47121"/>
    <w:rsid w:val="00C624C0"/>
    <w:rsid w:val="00C64E41"/>
    <w:rsid w:val="00C67346"/>
    <w:rsid w:val="00C70377"/>
    <w:rsid w:val="00C70ECE"/>
    <w:rsid w:val="00C744F8"/>
    <w:rsid w:val="00C8208C"/>
    <w:rsid w:val="00C87D25"/>
    <w:rsid w:val="00C908EF"/>
    <w:rsid w:val="00C91CA7"/>
    <w:rsid w:val="00C9472C"/>
    <w:rsid w:val="00CB358D"/>
    <w:rsid w:val="00CB5555"/>
    <w:rsid w:val="00CC22D1"/>
    <w:rsid w:val="00CF50C2"/>
    <w:rsid w:val="00CF60DA"/>
    <w:rsid w:val="00CF60FE"/>
    <w:rsid w:val="00D05AB4"/>
    <w:rsid w:val="00D3401D"/>
    <w:rsid w:val="00D56C24"/>
    <w:rsid w:val="00D7548B"/>
    <w:rsid w:val="00D90771"/>
    <w:rsid w:val="00D9396B"/>
    <w:rsid w:val="00DB6EFB"/>
    <w:rsid w:val="00DD4D38"/>
    <w:rsid w:val="00DD7D7C"/>
    <w:rsid w:val="00DE68EE"/>
    <w:rsid w:val="00DF4566"/>
    <w:rsid w:val="00E00540"/>
    <w:rsid w:val="00E0063B"/>
    <w:rsid w:val="00E04427"/>
    <w:rsid w:val="00E04510"/>
    <w:rsid w:val="00E140A5"/>
    <w:rsid w:val="00E46D58"/>
    <w:rsid w:val="00E97F92"/>
    <w:rsid w:val="00EB27CE"/>
    <w:rsid w:val="00EC6628"/>
    <w:rsid w:val="00F04164"/>
    <w:rsid w:val="00F04CA1"/>
    <w:rsid w:val="00F12466"/>
    <w:rsid w:val="00F256B3"/>
    <w:rsid w:val="00F34A15"/>
    <w:rsid w:val="00F3651D"/>
    <w:rsid w:val="00F432A4"/>
    <w:rsid w:val="00F4565C"/>
    <w:rsid w:val="00F51C21"/>
    <w:rsid w:val="00F56C6D"/>
    <w:rsid w:val="00F67C93"/>
    <w:rsid w:val="00F82E51"/>
    <w:rsid w:val="00F925AE"/>
    <w:rsid w:val="00F93B9E"/>
    <w:rsid w:val="00F946EE"/>
    <w:rsid w:val="00F973A8"/>
    <w:rsid w:val="00F97AC4"/>
    <w:rsid w:val="00F97D87"/>
    <w:rsid w:val="00FB4E1E"/>
    <w:rsid w:val="00FC2120"/>
    <w:rsid w:val="00FC5D09"/>
    <w:rsid w:val="00FD715F"/>
    <w:rsid w:val="00FF4A00"/>
    <w:rsid w:val="01006633"/>
    <w:rsid w:val="011E4510"/>
    <w:rsid w:val="01701999"/>
    <w:rsid w:val="01934CAF"/>
    <w:rsid w:val="01C30DB2"/>
    <w:rsid w:val="01D743EA"/>
    <w:rsid w:val="029B6F2F"/>
    <w:rsid w:val="048639EC"/>
    <w:rsid w:val="04D1629E"/>
    <w:rsid w:val="05756AF8"/>
    <w:rsid w:val="06CD76EE"/>
    <w:rsid w:val="06EC0E98"/>
    <w:rsid w:val="078B343B"/>
    <w:rsid w:val="0791479D"/>
    <w:rsid w:val="08634780"/>
    <w:rsid w:val="093B09F4"/>
    <w:rsid w:val="09433394"/>
    <w:rsid w:val="09845672"/>
    <w:rsid w:val="0A867849"/>
    <w:rsid w:val="0A977483"/>
    <w:rsid w:val="0AB6411D"/>
    <w:rsid w:val="0AD81E7F"/>
    <w:rsid w:val="0B202D65"/>
    <w:rsid w:val="0BF40AC2"/>
    <w:rsid w:val="0D0A7795"/>
    <w:rsid w:val="0D123A2F"/>
    <w:rsid w:val="0D441EB4"/>
    <w:rsid w:val="0D57757B"/>
    <w:rsid w:val="0D785517"/>
    <w:rsid w:val="0E0B003B"/>
    <w:rsid w:val="0E3A3B8A"/>
    <w:rsid w:val="0E9D750C"/>
    <w:rsid w:val="0EF84FF5"/>
    <w:rsid w:val="0F1669F0"/>
    <w:rsid w:val="0F1754E5"/>
    <w:rsid w:val="0F737B1F"/>
    <w:rsid w:val="0FBA06E9"/>
    <w:rsid w:val="107D4233"/>
    <w:rsid w:val="14674093"/>
    <w:rsid w:val="15300252"/>
    <w:rsid w:val="1536302F"/>
    <w:rsid w:val="15D1245E"/>
    <w:rsid w:val="172779EC"/>
    <w:rsid w:val="18001FEB"/>
    <w:rsid w:val="193542EF"/>
    <w:rsid w:val="196A1E12"/>
    <w:rsid w:val="197851D8"/>
    <w:rsid w:val="1C736218"/>
    <w:rsid w:val="1C863E02"/>
    <w:rsid w:val="1CB65156"/>
    <w:rsid w:val="1D3F55C2"/>
    <w:rsid w:val="1D52355F"/>
    <w:rsid w:val="1D683148"/>
    <w:rsid w:val="1F0C5E75"/>
    <w:rsid w:val="206A68EC"/>
    <w:rsid w:val="209E0FC2"/>
    <w:rsid w:val="22A7388A"/>
    <w:rsid w:val="23C96A92"/>
    <w:rsid w:val="241032B2"/>
    <w:rsid w:val="247A7C0D"/>
    <w:rsid w:val="24867225"/>
    <w:rsid w:val="25463CB1"/>
    <w:rsid w:val="25AC0912"/>
    <w:rsid w:val="26103BAB"/>
    <w:rsid w:val="268023DA"/>
    <w:rsid w:val="27665397"/>
    <w:rsid w:val="279B65BD"/>
    <w:rsid w:val="27C665D1"/>
    <w:rsid w:val="2854317F"/>
    <w:rsid w:val="294A3515"/>
    <w:rsid w:val="29937787"/>
    <w:rsid w:val="2ADA7117"/>
    <w:rsid w:val="2B110FC7"/>
    <w:rsid w:val="2C2968B6"/>
    <w:rsid w:val="2C930423"/>
    <w:rsid w:val="2D03259D"/>
    <w:rsid w:val="2D6B5D1F"/>
    <w:rsid w:val="2DD05F64"/>
    <w:rsid w:val="2F370D4F"/>
    <w:rsid w:val="30544E07"/>
    <w:rsid w:val="30762AC5"/>
    <w:rsid w:val="308C4510"/>
    <w:rsid w:val="30A00447"/>
    <w:rsid w:val="31360E96"/>
    <w:rsid w:val="3138276B"/>
    <w:rsid w:val="323F211C"/>
    <w:rsid w:val="3333700D"/>
    <w:rsid w:val="33845EBB"/>
    <w:rsid w:val="33C52CD6"/>
    <w:rsid w:val="33E52369"/>
    <w:rsid w:val="342B5D43"/>
    <w:rsid w:val="344C2983"/>
    <w:rsid w:val="34BB2207"/>
    <w:rsid w:val="35FE07D3"/>
    <w:rsid w:val="367350CE"/>
    <w:rsid w:val="37286A47"/>
    <w:rsid w:val="38102CD2"/>
    <w:rsid w:val="382904D4"/>
    <w:rsid w:val="384C7D40"/>
    <w:rsid w:val="38686CB5"/>
    <w:rsid w:val="38836992"/>
    <w:rsid w:val="3951224F"/>
    <w:rsid w:val="39977056"/>
    <w:rsid w:val="39F41826"/>
    <w:rsid w:val="39FE10AD"/>
    <w:rsid w:val="3A0B4993"/>
    <w:rsid w:val="3ADD5446"/>
    <w:rsid w:val="3B6F0D2E"/>
    <w:rsid w:val="3BCD2B15"/>
    <w:rsid w:val="3C4138DD"/>
    <w:rsid w:val="3C993347"/>
    <w:rsid w:val="3CA45C32"/>
    <w:rsid w:val="3D0A4C7C"/>
    <w:rsid w:val="3D6C6988"/>
    <w:rsid w:val="3F197E56"/>
    <w:rsid w:val="404D497E"/>
    <w:rsid w:val="40FB52CA"/>
    <w:rsid w:val="41AA56F7"/>
    <w:rsid w:val="420C17B5"/>
    <w:rsid w:val="42156510"/>
    <w:rsid w:val="428B00D5"/>
    <w:rsid w:val="42A214A6"/>
    <w:rsid w:val="42EA3EB4"/>
    <w:rsid w:val="449169E1"/>
    <w:rsid w:val="452D3C10"/>
    <w:rsid w:val="45580DC8"/>
    <w:rsid w:val="456E7A84"/>
    <w:rsid w:val="464450FA"/>
    <w:rsid w:val="46A73CFF"/>
    <w:rsid w:val="46BB6174"/>
    <w:rsid w:val="46D127FD"/>
    <w:rsid w:val="47FF4FB7"/>
    <w:rsid w:val="48C41AA2"/>
    <w:rsid w:val="48CA1BD1"/>
    <w:rsid w:val="4A5D5169"/>
    <w:rsid w:val="4B920F18"/>
    <w:rsid w:val="4BE6215A"/>
    <w:rsid w:val="4BFD78C9"/>
    <w:rsid w:val="4C5852D5"/>
    <w:rsid w:val="4CFB1FDE"/>
    <w:rsid w:val="4D41600E"/>
    <w:rsid w:val="4DAB6463"/>
    <w:rsid w:val="4E2D0CC7"/>
    <w:rsid w:val="4E2F01BD"/>
    <w:rsid w:val="4E39277E"/>
    <w:rsid w:val="4E737A54"/>
    <w:rsid w:val="4EAB17F8"/>
    <w:rsid w:val="4EE71D69"/>
    <w:rsid w:val="4F074CC9"/>
    <w:rsid w:val="4FA17078"/>
    <w:rsid w:val="4FE97EDD"/>
    <w:rsid w:val="500D7B49"/>
    <w:rsid w:val="505113CB"/>
    <w:rsid w:val="50A92A8E"/>
    <w:rsid w:val="50F23B73"/>
    <w:rsid w:val="51526C2A"/>
    <w:rsid w:val="516A26E0"/>
    <w:rsid w:val="51856D1E"/>
    <w:rsid w:val="51A82E2D"/>
    <w:rsid w:val="52021EE1"/>
    <w:rsid w:val="53E33058"/>
    <w:rsid w:val="542F5290"/>
    <w:rsid w:val="545A0CF3"/>
    <w:rsid w:val="54A97883"/>
    <w:rsid w:val="557947D9"/>
    <w:rsid w:val="565A4BF8"/>
    <w:rsid w:val="56717F87"/>
    <w:rsid w:val="57DF061C"/>
    <w:rsid w:val="595945D5"/>
    <w:rsid w:val="5AC32093"/>
    <w:rsid w:val="5AFC28B4"/>
    <w:rsid w:val="5B501F0F"/>
    <w:rsid w:val="5B653C0C"/>
    <w:rsid w:val="5B783A25"/>
    <w:rsid w:val="5BAA5D86"/>
    <w:rsid w:val="5D752D42"/>
    <w:rsid w:val="5E261984"/>
    <w:rsid w:val="5F3429E7"/>
    <w:rsid w:val="604C7282"/>
    <w:rsid w:val="60722031"/>
    <w:rsid w:val="62535171"/>
    <w:rsid w:val="62AD0BBB"/>
    <w:rsid w:val="65600146"/>
    <w:rsid w:val="664B1711"/>
    <w:rsid w:val="670F119D"/>
    <w:rsid w:val="68A62A03"/>
    <w:rsid w:val="69047451"/>
    <w:rsid w:val="691C6622"/>
    <w:rsid w:val="695866B1"/>
    <w:rsid w:val="69EC6E27"/>
    <w:rsid w:val="6A4B5872"/>
    <w:rsid w:val="6A6C4D53"/>
    <w:rsid w:val="6ABB0A62"/>
    <w:rsid w:val="6B077B5B"/>
    <w:rsid w:val="6B671634"/>
    <w:rsid w:val="6BE04F47"/>
    <w:rsid w:val="6C0F3183"/>
    <w:rsid w:val="6C5D45F7"/>
    <w:rsid w:val="6C921AB5"/>
    <w:rsid w:val="6C9F4D2B"/>
    <w:rsid w:val="6F2D5DF8"/>
    <w:rsid w:val="70BD3139"/>
    <w:rsid w:val="715737BA"/>
    <w:rsid w:val="72785508"/>
    <w:rsid w:val="73660DFD"/>
    <w:rsid w:val="73C4318F"/>
    <w:rsid w:val="74472634"/>
    <w:rsid w:val="754E350B"/>
    <w:rsid w:val="755244BB"/>
    <w:rsid w:val="75B6194E"/>
    <w:rsid w:val="75E8080E"/>
    <w:rsid w:val="764F3097"/>
    <w:rsid w:val="769522AC"/>
    <w:rsid w:val="76AF6C1F"/>
    <w:rsid w:val="771147F0"/>
    <w:rsid w:val="771D1E24"/>
    <w:rsid w:val="777202C0"/>
    <w:rsid w:val="77746F28"/>
    <w:rsid w:val="77952B54"/>
    <w:rsid w:val="78006DFC"/>
    <w:rsid w:val="78463DF6"/>
    <w:rsid w:val="79166B06"/>
    <w:rsid w:val="793C6214"/>
    <w:rsid w:val="7A1217EF"/>
    <w:rsid w:val="7A747B92"/>
    <w:rsid w:val="7B6D7CB5"/>
    <w:rsid w:val="7B7C37E8"/>
    <w:rsid w:val="7C4B2255"/>
    <w:rsid w:val="7C6A2D5B"/>
    <w:rsid w:val="7CA27D72"/>
    <w:rsid w:val="7D4616E7"/>
    <w:rsid w:val="7E775482"/>
    <w:rsid w:val="7EE46309"/>
    <w:rsid w:val="7F2F5C8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link w:val="21"/>
    <w:qFormat/>
    <w:uiPriority w:val="0"/>
    <w:pPr>
      <w:jc w:val="left"/>
    </w:pPr>
  </w:style>
  <w:style w:type="paragraph" w:styleId="3">
    <w:name w:val="Body Text"/>
    <w:basedOn w:val="1"/>
    <w:link w:val="27"/>
    <w:qFormat/>
    <w:uiPriority w:val="0"/>
    <w:pPr>
      <w:spacing w:line="360" w:lineRule="auto"/>
    </w:pPr>
    <w:rPr>
      <w:sz w:val="24"/>
      <w:szCs w:val="24"/>
      <w:lang w:val="zh-CN"/>
    </w:rPr>
  </w:style>
  <w:style w:type="paragraph" w:styleId="4">
    <w:name w:val="Date"/>
    <w:basedOn w:val="1"/>
    <w:next w:val="1"/>
    <w:link w:val="29"/>
    <w:semiHidden/>
    <w:unhideWhenUsed/>
    <w:qFormat/>
    <w:uiPriority w:val="99"/>
    <w:pPr>
      <w:ind w:left="100" w:leftChars="2500"/>
    </w:pPr>
  </w:style>
  <w:style w:type="paragraph" w:styleId="5">
    <w:name w:val="Balloon Text"/>
    <w:basedOn w:val="1"/>
    <w:link w:val="20"/>
    <w:semiHidden/>
    <w:unhideWhenUsed/>
    <w:qFormat/>
    <w:uiPriority w:val="99"/>
    <w:rPr>
      <w:sz w:val="18"/>
      <w:szCs w:val="18"/>
    </w:rPr>
  </w:style>
  <w:style w:type="paragraph" w:styleId="6">
    <w:name w:val="footer"/>
    <w:basedOn w:val="1"/>
    <w:link w:val="17"/>
    <w:unhideWhenUsed/>
    <w:qFormat/>
    <w:uiPriority w:val="99"/>
    <w:pPr>
      <w:tabs>
        <w:tab w:val="center" w:pos="4153"/>
        <w:tab w:val="right" w:pos="8306"/>
      </w:tabs>
      <w:snapToGrid w:val="0"/>
      <w:jc w:val="left"/>
    </w:pPr>
    <w:rPr>
      <w:sz w:val="18"/>
      <w:szCs w:val="18"/>
    </w:rPr>
  </w:style>
  <w:style w:type="paragraph" w:styleId="7">
    <w:name w:val="header"/>
    <w:basedOn w:val="1"/>
    <w:link w:val="16"/>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HTML Preformatted"/>
    <w:basedOn w:val="1"/>
    <w:link w:val="25"/>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paragraph" w:styleId="9">
    <w:name w:val="annotation subject"/>
    <w:basedOn w:val="2"/>
    <w:next w:val="2"/>
    <w:link w:val="22"/>
    <w:semiHidden/>
    <w:unhideWhenUsed/>
    <w:qFormat/>
    <w:uiPriority w:val="99"/>
    <w:rPr>
      <w:b/>
      <w:bCs/>
    </w:rPr>
  </w:style>
  <w:style w:type="table" w:styleId="11">
    <w:name w:val="Table Grid"/>
    <w:basedOn w:val="10"/>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3">
    <w:name w:val="FollowedHyperlink"/>
    <w:basedOn w:val="12"/>
    <w:semiHidden/>
    <w:unhideWhenUsed/>
    <w:qFormat/>
    <w:uiPriority w:val="99"/>
    <w:rPr>
      <w:color w:val="800080"/>
      <w:u w:val="single"/>
    </w:rPr>
  </w:style>
  <w:style w:type="character" w:styleId="14">
    <w:name w:val="Hyperlink"/>
    <w:basedOn w:val="12"/>
    <w:unhideWhenUsed/>
    <w:qFormat/>
    <w:uiPriority w:val="99"/>
    <w:rPr>
      <w:color w:val="0000FF" w:themeColor="hyperlink"/>
      <w:u w:val="single"/>
      <w14:textFill>
        <w14:solidFill>
          <w14:schemeClr w14:val="hlink"/>
        </w14:solidFill>
      </w14:textFill>
    </w:rPr>
  </w:style>
  <w:style w:type="character" w:styleId="15">
    <w:name w:val="annotation reference"/>
    <w:qFormat/>
    <w:uiPriority w:val="0"/>
    <w:rPr>
      <w:sz w:val="21"/>
      <w:szCs w:val="21"/>
    </w:rPr>
  </w:style>
  <w:style w:type="character" w:customStyle="1" w:styleId="16">
    <w:name w:val="页眉 字符"/>
    <w:basedOn w:val="12"/>
    <w:link w:val="7"/>
    <w:qFormat/>
    <w:uiPriority w:val="99"/>
    <w:rPr>
      <w:sz w:val="18"/>
      <w:szCs w:val="18"/>
    </w:rPr>
  </w:style>
  <w:style w:type="character" w:customStyle="1" w:styleId="17">
    <w:name w:val="页脚 字符"/>
    <w:basedOn w:val="12"/>
    <w:link w:val="6"/>
    <w:qFormat/>
    <w:uiPriority w:val="99"/>
    <w:rPr>
      <w:sz w:val="18"/>
      <w:szCs w:val="18"/>
    </w:rPr>
  </w:style>
  <w:style w:type="paragraph" w:customStyle="1" w:styleId="18">
    <w:name w:val="CM13"/>
    <w:basedOn w:val="1"/>
    <w:next w:val="1"/>
    <w:qFormat/>
    <w:uiPriority w:val="0"/>
    <w:pPr>
      <w:autoSpaceDE w:val="0"/>
      <w:autoSpaceDN w:val="0"/>
      <w:adjustRightInd w:val="0"/>
      <w:spacing w:after="455"/>
      <w:jc w:val="left"/>
    </w:pPr>
    <w:rPr>
      <w:rFonts w:ascii="宋体"/>
      <w:kern w:val="0"/>
      <w:sz w:val="24"/>
      <w:szCs w:val="24"/>
    </w:rPr>
  </w:style>
  <w:style w:type="paragraph" w:customStyle="1" w:styleId="19">
    <w:name w:val="CM14"/>
    <w:basedOn w:val="1"/>
    <w:next w:val="1"/>
    <w:qFormat/>
    <w:uiPriority w:val="0"/>
    <w:pPr>
      <w:autoSpaceDE w:val="0"/>
      <w:autoSpaceDN w:val="0"/>
      <w:adjustRightInd w:val="0"/>
      <w:spacing w:after="253"/>
      <w:jc w:val="left"/>
    </w:pPr>
    <w:rPr>
      <w:rFonts w:ascii="宋体"/>
      <w:kern w:val="0"/>
      <w:sz w:val="24"/>
      <w:szCs w:val="24"/>
    </w:rPr>
  </w:style>
  <w:style w:type="character" w:customStyle="1" w:styleId="20">
    <w:name w:val="批注框文本 字符"/>
    <w:basedOn w:val="12"/>
    <w:link w:val="5"/>
    <w:semiHidden/>
    <w:qFormat/>
    <w:uiPriority w:val="99"/>
    <w:rPr>
      <w:rFonts w:ascii="Times New Roman" w:hAnsi="Times New Roman" w:eastAsia="宋体" w:cs="Times New Roman"/>
      <w:sz w:val="18"/>
      <w:szCs w:val="18"/>
    </w:rPr>
  </w:style>
  <w:style w:type="character" w:customStyle="1" w:styleId="21">
    <w:name w:val="批注文字 字符"/>
    <w:basedOn w:val="12"/>
    <w:link w:val="2"/>
    <w:qFormat/>
    <w:uiPriority w:val="0"/>
    <w:rPr>
      <w:rFonts w:ascii="Times New Roman" w:hAnsi="Times New Roman" w:eastAsia="宋体" w:cs="Times New Roman"/>
      <w:szCs w:val="20"/>
    </w:rPr>
  </w:style>
  <w:style w:type="character" w:customStyle="1" w:styleId="22">
    <w:name w:val="批注主题 字符"/>
    <w:basedOn w:val="21"/>
    <w:link w:val="9"/>
    <w:semiHidden/>
    <w:qFormat/>
    <w:uiPriority w:val="99"/>
    <w:rPr>
      <w:rFonts w:ascii="Times New Roman" w:hAnsi="Times New Roman" w:eastAsia="宋体" w:cs="Times New Roman"/>
      <w:b/>
      <w:bCs/>
      <w:szCs w:val="20"/>
    </w:rPr>
  </w:style>
  <w:style w:type="paragraph" w:customStyle="1" w:styleId="23">
    <w:name w:val="修订1"/>
    <w:hidden/>
    <w:semiHidden/>
    <w:qFormat/>
    <w:uiPriority w:val="99"/>
    <w:rPr>
      <w:rFonts w:ascii="Times New Roman" w:hAnsi="Times New Roman" w:eastAsia="宋体" w:cs="Times New Roman"/>
      <w:kern w:val="2"/>
      <w:sz w:val="21"/>
      <w:lang w:val="en-US" w:eastAsia="zh-CN" w:bidi="ar-SA"/>
    </w:rPr>
  </w:style>
  <w:style w:type="paragraph" w:customStyle="1" w:styleId="24">
    <w:name w:val="修订2"/>
    <w:hidden/>
    <w:unhideWhenUsed/>
    <w:qFormat/>
    <w:uiPriority w:val="99"/>
    <w:rPr>
      <w:rFonts w:ascii="Times New Roman" w:hAnsi="Times New Roman" w:eastAsia="宋体" w:cs="Times New Roman"/>
      <w:kern w:val="2"/>
      <w:sz w:val="21"/>
      <w:lang w:val="en-US" w:eastAsia="zh-CN" w:bidi="ar-SA"/>
    </w:rPr>
  </w:style>
  <w:style w:type="character" w:customStyle="1" w:styleId="25">
    <w:name w:val="HTML 预设格式 字符"/>
    <w:basedOn w:val="12"/>
    <w:link w:val="8"/>
    <w:qFormat/>
    <w:uiPriority w:val="99"/>
    <w:rPr>
      <w:rFonts w:ascii="宋体" w:hAnsi="宋体" w:cs="宋体"/>
      <w:sz w:val="24"/>
      <w:szCs w:val="24"/>
    </w:rPr>
  </w:style>
  <w:style w:type="paragraph" w:styleId="26">
    <w:name w:val="List Paragraph"/>
    <w:basedOn w:val="1"/>
    <w:qFormat/>
    <w:uiPriority w:val="34"/>
    <w:pPr>
      <w:ind w:firstLine="420" w:firstLineChars="200"/>
    </w:pPr>
  </w:style>
  <w:style w:type="character" w:customStyle="1" w:styleId="27">
    <w:name w:val="正文文本 字符"/>
    <w:basedOn w:val="12"/>
    <w:link w:val="3"/>
    <w:qFormat/>
    <w:uiPriority w:val="0"/>
    <w:rPr>
      <w:rFonts w:ascii="Times New Roman" w:hAnsi="Times New Roman"/>
      <w:kern w:val="2"/>
      <w:sz w:val="24"/>
      <w:szCs w:val="24"/>
      <w:lang w:val="zh-CN"/>
    </w:rPr>
  </w:style>
  <w:style w:type="paragraph" w:customStyle="1" w:styleId="28">
    <w:name w:val="Default"/>
    <w:unhideWhenUsed/>
    <w:qFormat/>
    <w:uiPriority w:val="99"/>
    <w:pPr>
      <w:widowControl w:val="0"/>
      <w:autoSpaceDE w:val="0"/>
      <w:autoSpaceDN w:val="0"/>
      <w:adjustRightInd w:val="0"/>
    </w:pPr>
    <w:rPr>
      <w:rFonts w:hint="eastAsia" w:ascii="宋体" w:hAnsi="宋体" w:eastAsia="宋体" w:cs="Times New Roman"/>
      <w:color w:val="000000"/>
      <w:sz w:val="24"/>
      <w:lang w:val="en-US" w:eastAsia="zh-CN" w:bidi="ar-SA"/>
    </w:rPr>
  </w:style>
  <w:style w:type="character" w:customStyle="1" w:styleId="29">
    <w:name w:val="日期 字符"/>
    <w:basedOn w:val="12"/>
    <w:link w:val="4"/>
    <w:semiHidden/>
    <w:qFormat/>
    <w:uiPriority w:val="99"/>
    <w:rPr>
      <w:kern w:val="2"/>
      <w:sz w:val="21"/>
    </w:rPr>
  </w:style>
  <w:style w:type="paragraph" w:customStyle="1" w:styleId="30">
    <w:name w:val="msonormal"/>
    <w:basedOn w:val="1"/>
    <w:qFormat/>
    <w:uiPriority w:val="0"/>
    <w:pPr>
      <w:widowControl/>
      <w:spacing w:before="100" w:beforeAutospacing="1" w:after="100" w:afterAutospacing="1"/>
      <w:jc w:val="left"/>
    </w:pPr>
    <w:rPr>
      <w:rFonts w:ascii="宋体" w:hAnsi="宋体" w:cs="宋体"/>
      <w:kern w:val="0"/>
      <w:sz w:val="24"/>
      <w:szCs w:val="24"/>
    </w:rPr>
  </w:style>
  <w:style w:type="paragraph" w:customStyle="1" w:styleId="31">
    <w:name w:val="xl66"/>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2">
    <w:name w:val="xl67"/>
    <w:basedOn w:val="1"/>
    <w:qFormat/>
    <w:uiPriority w:val="0"/>
    <w:pPr>
      <w:widowControl/>
      <w:spacing w:before="100" w:beforeAutospacing="1" w:after="100" w:afterAutospacing="1"/>
      <w:jc w:val="left"/>
    </w:pPr>
    <w:rPr>
      <w:rFonts w:ascii="宋体" w:hAnsi="宋体" w:cs="宋体"/>
      <w:color w:val="000000"/>
      <w:kern w:val="0"/>
      <w:sz w:val="18"/>
      <w:szCs w:val="18"/>
    </w:rPr>
  </w:style>
  <w:style w:type="paragraph" w:customStyle="1" w:styleId="33">
    <w:name w:val="xl68"/>
    <w:basedOn w:val="1"/>
    <w:qFormat/>
    <w:uiPriority w:val="0"/>
    <w:pPr>
      <w:widowControl/>
      <w:shd w:val="clear" w:color="000000" w:fill="F79646"/>
      <w:spacing w:before="100" w:beforeAutospacing="1" w:after="100" w:afterAutospacing="1"/>
      <w:jc w:val="left"/>
    </w:pPr>
    <w:rPr>
      <w:rFonts w:ascii="宋体" w:hAnsi="宋体" w:cs="宋体"/>
      <w:color w:val="000000"/>
      <w:kern w:val="0"/>
      <w:sz w:val="18"/>
      <w:szCs w:val="18"/>
    </w:rPr>
  </w:style>
  <w:style w:type="paragraph" w:customStyle="1" w:styleId="34">
    <w:name w:val="xl69"/>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5">
    <w:name w:val="xl70"/>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6">
    <w:name w:val="xl71"/>
    <w:basedOn w:val="1"/>
    <w:qFormat/>
    <w:uiPriority w:val="0"/>
    <w:pPr>
      <w:widowControl/>
      <w:spacing w:before="100" w:beforeAutospacing="1" w:after="100" w:afterAutospacing="1"/>
      <w:jc w:val="left"/>
    </w:pPr>
    <w:rPr>
      <w:rFonts w:ascii="宋体" w:hAnsi="宋体" w:cs="宋体"/>
      <w:kern w:val="0"/>
      <w:sz w:val="18"/>
      <w:szCs w:val="18"/>
    </w:rPr>
  </w:style>
  <w:style w:type="paragraph" w:customStyle="1" w:styleId="37">
    <w:name w:val="xl72"/>
    <w:basedOn w:val="1"/>
    <w:qFormat/>
    <w:uiPriority w:val="0"/>
    <w:pPr>
      <w:widowControl/>
      <w:shd w:val="clear" w:color="000000" w:fill="FFFF00"/>
      <w:spacing w:before="100" w:beforeAutospacing="1" w:after="100" w:afterAutospacing="1"/>
      <w:jc w:val="left"/>
    </w:pPr>
    <w:rPr>
      <w:rFonts w:ascii="宋体" w:hAnsi="宋体" w:cs="宋体"/>
      <w:kern w:val="0"/>
      <w:sz w:val="18"/>
      <w:szCs w:val="18"/>
    </w:rPr>
  </w:style>
  <w:style w:type="paragraph" w:customStyle="1" w:styleId="38">
    <w:name w:val="xl73"/>
    <w:basedOn w:val="1"/>
    <w:qFormat/>
    <w:uiPriority w:val="0"/>
    <w:pPr>
      <w:widowControl/>
      <w:spacing w:before="100" w:beforeAutospacing="1" w:after="100" w:afterAutospacing="1"/>
      <w:jc w:val="center"/>
    </w:pPr>
    <w:rPr>
      <w:rFonts w:ascii="宋体" w:hAnsi="宋体" w:cs="宋体"/>
      <w:kern w:val="0"/>
      <w:sz w:val="18"/>
      <w:szCs w:val="18"/>
    </w:rPr>
  </w:style>
  <w:style w:type="paragraph" w:customStyle="1" w:styleId="39">
    <w:name w:val="xl74"/>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0">
    <w:name w:val="xl75"/>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1">
    <w:name w:val="xl76"/>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2">
    <w:name w:val="xl77"/>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kern w:val="0"/>
      <w:sz w:val="18"/>
      <w:szCs w:val="18"/>
    </w:rPr>
  </w:style>
  <w:style w:type="paragraph" w:customStyle="1" w:styleId="43">
    <w:name w:val="xl78"/>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4">
    <w:name w:val="xl79"/>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5">
    <w:name w:val="xl80"/>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6">
    <w:name w:val="xl81"/>
    <w:basedOn w:val="1"/>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7">
    <w:name w:val="xl82"/>
    <w:basedOn w:val="1"/>
    <w:qFormat/>
    <w:uiPriority w:val="0"/>
    <w:pPr>
      <w:widowControl/>
      <w:pBdr>
        <w:top w:val="single" w:color="auto" w:sz="4" w:space="0"/>
        <w:left w:val="single" w:color="auto" w:sz="4" w:space="0"/>
        <w:bottom w:val="single" w:color="auto" w:sz="4" w:space="0"/>
        <w:right w:val="single" w:color="auto" w:sz="4" w:space="0"/>
      </w:pBdr>
      <w:shd w:val="clear" w:color="000000" w:fill="FFFF00"/>
      <w:spacing w:before="100" w:beforeAutospacing="1" w:after="100" w:afterAutospacing="1"/>
      <w:jc w:val="left"/>
    </w:pPr>
    <w:rPr>
      <w:rFonts w:ascii="宋体" w:hAnsi="宋体" w:cs="宋体"/>
      <w:kern w:val="0"/>
      <w:sz w:val="18"/>
      <w:szCs w:val="18"/>
    </w:rPr>
  </w:style>
  <w:style w:type="paragraph" w:customStyle="1" w:styleId="48">
    <w:name w:val="xl83"/>
    <w:basedOn w:val="1"/>
    <w:qFormat/>
    <w:uiPriority w:val="0"/>
    <w:pPr>
      <w:widowControl/>
      <w:pBdr>
        <w:top w:val="single" w:color="auto" w:sz="4" w:space="0"/>
        <w:left w:val="single" w:color="auto" w:sz="4" w:space="0"/>
        <w:right w:val="single" w:color="auto" w:sz="4" w:space="0"/>
      </w:pBdr>
      <w:spacing w:before="100" w:beforeAutospacing="1" w:after="100" w:afterAutospacing="1"/>
      <w:jc w:val="left"/>
    </w:pPr>
    <w:rPr>
      <w:rFonts w:ascii="宋体" w:hAnsi="宋体" w:cs="宋体"/>
      <w:color w:val="000000"/>
      <w:kern w:val="0"/>
      <w:sz w:val="18"/>
      <w:szCs w:val="18"/>
    </w:rPr>
  </w:style>
  <w:style w:type="paragraph" w:customStyle="1" w:styleId="49">
    <w:name w:val="xl84"/>
    <w:basedOn w:val="1"/>
    <w:qFormat/>
    <w:uiPriority w:val="0"/>
    <w:pPr>
      <w:widowControl/>
      <w:spacing w:before="100" w:beforeAutospacing="1" w:after="100" w:afterAutospacing="1"/>
      <w:jc w:val="right"/>
    </w:pPr>
    <w:rPr>
      <w:rFonts w:ascii="宋体" w:hAnsi="宋体" w:cs="宋体"/>
      <w:color w:val="000000"/>
      <w:kern w:val="0"/>
      <w:sz w:val="18"/>
      <w:szCs w:val="18"/>
    </w:rPr>
  </w:style>
  <w:style w:type="paragraph" w:customStyle="1" w:styleId="50">
    <w:name w:val="xl85"/>
    <w:basedOn w:val="1"/>
    <w:qFormat/>
    <w:uiPriority w:val="0"/>
    <w:pPr>
      <w:widowControl/>
      <w:spacing w:before="100" w:beforeAutospacing="1" w:after="100" w:afterAutospacing="1"/>
      <w:jc w:val="center"/>
    </w:pPr>
    <w:rPr>
      <w:rFonts w:ascii="宋体" w:hAnsi="宋体" w:cs="宋体"/>
      <w:color w:val="000000"/>
      <w:kern w:val="0"/>
      <w:sz w:val="18"/>
      <w:szCs w:val="18"/>
    </w:rPr>
  </w:style>
  <w:style w:type="paragraph" w:customStyle="1" w:styleId="51">
    <w:name w:val="xl86"/>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left"/>
    </w:pPr>
    <w:rPr>
      <w:rFonts w:ascii="宋体" w:hAnsi="宋体" w:cs="宋体"/>
      <w:color w:val="000000"/>
      <w:kern w:val="0"/>
      <w:sz w:val="18"/>
      <w:szCs w:val="18"/>
    </w:rPr>
  </w:style>
  <w:style w:type="paragraph" w:customStyle="1" w:styleId="52">
    <w:name w:val="xl87"/>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left"/>
    </w:pPr>
    <w:rPr>
      <w:rFonts w:ascii="宋体" w:hAnsi="宋体" w:cs="宋体"/>
      <w:color w:val="000000"/>
      <w:kern w:val="0"/>
      <w:sz w:val="18"/>
      <w:szCs w:val="18"/>
    </w:rPr>
  </w:style>
  <w:style w:type="paragraph" w:customStyle="1" w:styleId="53">
    <w:name w:val="xl88"/>
    <w:basedOn w:val="1"/>
    <w:qFormat/>
    <w:uiPriority w:val="0"/>
    <w:pPr>
      <w:widowControl/>
      <w:pBdr>
        <w:top w:val="single" w:color="auto" w:sz="4" w:space="0"/>
        <w:left w:val="single" w:color="auto" w:sz="4" w:space="0"/>
        <w:bottom w:val="single" w:color="auto" w:sz="4" w:space="0"/>
        <w:right w:val="single" w:color="auto" w:sz="4" w:space="0"/>
      </w:pBdr>
      <w:shd w:val="clear" w:color="000000" w:fill="F79646"/>
      <w:spacing w:before="100" w:beforeAutospacing="1" w:after="100" w:afterAutospacing="1"/>
      <w:jc w:val="left"/>
    </w:pPr>
    <w:rPr>
      <w:rFonts w:ascii="宋体" w:hAnsi="宋体" w:cs="宋体"/>
      <w:color w:val="000000"/>
      <w:kern w:val="0"/>
      <w:sz w:val="18"/>
      <w:szCs w:val="18"/>
    </w:rPr>
  </w:style>
  <w:style w:type="paragraph" w:customStyle="1" w:styleId="54">
    <w:name w:val="xl89"/>
    <w:basedOn w:val="1"/>
    <w:qFormat/>
    <w:uiPriority w:val="0"/>
    <w:pPr>
      <w:widowControl/>
      <w:shd w:val="clear" w:color="000000" w:fill="F79646"/>
      <w:spacing w:before="100" w:beforeAutospacing="1" w:after="100" w:afterAutospacing="1"/>
      <w:jc w:val="right"/>
    </w:pPr>
    <w:rPr>
      <w:rFonts w:ascii="宋体" w:hAnsi="宋体" w:cs="宋体"/>
      <w:color w:val="000000"/>
      <w:kern w:val="0"/>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4C0C5F4-C394-496E-B67A-7C257FE2A38E}">
  <ds:schemaRefs/>
</ds:datastoreItem>
</file>

<file path=docProps/app.xml><?xml version="1.0" encoding="utf-8"?>
<Properties xmlns="http://schemas.openxmlformats.org/officeDocument/2006/extended-properties" xmlns:vt="http://schemas.openxmlformats.org/officeDocument/2006/docPropsVTypes">
  <Template>Normal</Template>
  <Pages>4</Pages>
  <Words>507</Words>
  <Characters>2890</Characters>
  <Lines>24</Lines>
  <Paragraphs>6</Paragraphs>
  <TotalTime>3</TotalTime>
  <ScaleCrop>false</ScaleCrop>
  <LinksUpToDate>false</LinksUpToDate>
  <CharactersWithSpaces>3391</CharactersWithSpaces>
  <Application>WPS Office_11.1.0.12598_F1E327BC-269C-435d-A152-05C5408002CA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2021-04-07T08:38:00Z</dcterms:created>
  <dc:creator>NTKO</dc:creator>
  <cp:lastModifiedBy>小铃铛</cp:lastModifiedBy>
  <cp:lastPrinted>2022-10-18T06:00:00Z</cp:lastPrinted>
  <dcterms:modified xsi:type="dcterms:W3CDTF">2022-10-18T07:26:06Z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7BF68825838B45F793721F730D21030C</vt:lpwstr>
  </property>
</Properties>
</file>